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742" w:rsidRPr="00E60202" w:rsidRDefault="00A258E7">
      <w:pPr>
        <w:pStyle w:val="Header"/>
        <w:shd w:val="clear" w:color="auto" w:fill="FFFFFF" w:themeFill="background1"/>
        <w:spacing w:line="360" w:lineRule="auto"/>
        <w:jc w:val="right"/>
        <w:rPr>
          <w:rFonts w:ascii="Times New Roman" w:hAnsi="Times New Roman" w:cs="Times New Roman"/>
          <w:b/>
          <w:sz w:val="24"/>
          <w:szCs w:val="24"/>
        </w:rPr>
      </w:pPr>
      <w:r w:rsidRPr="00E60202">
        <w:rPr>
          <w:rFonts w:ascii="Times New Roman" w:hAnsi="Times New Roman" w:cs="Times New Roman"/>
          <w:b/>
          <w:sz w:val="24"/>
          <w:szCs w:val="24"/>
        </w:rPr>
        <w:t>ПРИЛОЖЕНИЕ 3А</w:t>
      </w:r>
    </w:p>
    <w:p w:rsidR="00580742" w:rsidRPr="00E60202" w:rsidRDefault="00A258E7">
      <w:pPr>
        <w:shd w:val="clear" w:color="auto" w:fill="FFFFFF" w:themeFill="background1"/>
        <w:snapToGrid w:val="0"/>
        <w:spacing w:after="120" w:line="360" w:lineRule="auto"/>
        <w:jc w:val="both"/>
        <w:rPr>
          <w:rFonts w:ascii="Times New Roman" w:eastAsia="Times New Roman" w:hAnsi="Times New Roman" w:cs="Times New Roman"/>
          <w:b/>
          <w:sz w:val="24"/>
          <w:szCs w:val="24"/>
          <w:lang w:eastAsia="bg-BG"/>
        </w:rPr>
      </w:pPr>
      <w:r w:rsidRPr="00E60202">
        <w:rPr>
          <w:rFonts w:ascii="Times New Roman" w:eastAsia="Times New Roman" w:hAnsi="Times New Roman" w:cs="Times New Roman"/>
          <w:b/>
          <w:sz w:val="24"/>
          <w:szCs w:val="24"/>
          <w:lang w:eastAsia="bg-BG"/>
        </w:rPr>
        <w:t>УСЛОВИЯ ЗА ПРЕДОСТАВЯНЕ НА МИНИМАЛНИ ПОМОЩИ В СЪОТВЕТСТВИЕ С РЕГЛАМЕНТ (ЕС) №2023/2831 НА КОМИСИЯТА ОТ 13 ДЕКЕМВРИ 2023 Г. ОТНОСНО ПРИЛАГАНЕТО НА ЧЛЕНОВЕ 107 И 108 ОТ ДОГОВОРА ЗА ФУНКЦИОНИРАНЕТО НА ЕВРОПЕЙСКИЯ СЪЮЗ КЪМ ПОМОЩТА DE MINIMIS</w:t>
      </w:r>
    </w:p>
    <w:p w:rsidR="00580742" w:rsidRPr="00E60202" w:rsidRDefault="00580742">
      <w:pPr>
        <w:widowControl w:val="0"/>
        <w:shd w:val="clear" w:color="auto" w:fill="FFFFFF" w:themeFill="background1"/>
        <w:snapToGrid w:val="0"/>
        <w:spacing w:after="120" w:line="360" w:lineRule="auto"/>
        <w:ind w:left="4"/>
        <w:rPr>
          <w:rFonts w:ascii="Times New Roman" w:hAnsi="Times New Roman" w:cs="Times New Roman"/>
          <w:b/>
          <w:bCs/>
          <w:sz w:val="24"/>
          <w:szCs w:val="24"/>
        </w:rPr>
      </w:pPr>
    </w:p>
    <w:p w:rsidR="00580742" w:rsidRPr="00E60202" w:rsidRDefault="00A258E7">
      <w:pPr>
        <w:widowControl w:val="0"/>
        <w:numPr>
          <w:ilvl w:val="0"/>
          <w:numId w:val="1"/>
        </w:numPr>
        <w:shd w:val="clear" w:color="auto" w:fill="FFFFFF" w:themeFill="background1"/>
        <w:snapToGrid w:val="0"/>
        <w:spacing w:after="120" w:line="360" w:lineRule="auto"/>
        <w:rPr>
          <w:rFonts w:ascii="Times New Roman" w:hAnsi="Times New Roman" w:cs="Times New Roman"/>
          <w:b/>
          <w:bCs/>
          <w:sz w:val="24"/>
          <w:szCs w:val="24"/>
        </w:rPr>
      </w:pPr>
      <w:r w:rsidRPr="00E60202">
        <w:rPr>
          <w:rFonts w:ascii="Times New Roman" w:hAnsi="Times New Roman" w:cs="Times New Roman"/>
          <w:b/>
          <w:bCs/>
          <w:sz w:val="24"/>
          <w:szCs w:val="24"/>
        </w:rPr>
        <w:t>ВЪВЕДЕНИЕ</w:t>
      </w:r>
    </w:p>
    <w:p w:rsidR="00580742" w:rsidRPr="00E60202" w:rsidRDefault="00A258E7">
      <w:pPr>
        <w:widowControl w:val="0"/>
        <w:shd w:val="clear" w:color="auto" w:fill="FFFFFF" w:themeFill="background1"/>
        <w:snapToGrid w:val="0"/>
        <w:spacing w:after="120" w:line="360" w:lineRule="auto"/>
        <w:ind w:left="4"/>
        <w:jc w:val="both"/>
        <w:rPr>
          <w:rFonts w:ascii="Times New Roman" w:hAnsi="Times New Roman" w:cs="Times New Roman"/>
          <w:sz w:val="24"/>
          <w:szCs w:val="24"/>
        </w:rPr>
      </w:pPr>
      <w:r w:rsidRPr="00E60202">
        <w:rPr>
          <w:rFonts w:ascii="Times New Roman" w:hAnsi="Times New Roman" w:cs="Times New Roman"/>
          <w:sz w:val="24"/>
          <w:szCs w:val="24"/>
        </w:rPr>
        <w:t xml:space="preserve">Настоящите условия определят изискванията, когато дейност/проект по процедура </w:t>
      </w:r>
      <w:r w:rsidRPr="00E60202">
        <w:rPr>
          <w:rFonts w:ascii="Times New Roman" w:hAnsi="Times New Roman" w:cs="Times New Roman"/>
          <w:i/>
          <w:iCs/>
          <w:sz w:val="24"/>
          <w:szCs w:val="24"/>
        </w:rPr>
        <w:t>BG16FFPR003-4.004 „Диверсификация и адаптиране на малки и средни предприятия  към икономическия преход“</w:t>
      </w:r>
      <w:r w:rsidRPr="00E60202">
        <w:rPr>
          <w:rFonts w:ascii="Times New Roman" w:hAnsi="Times New Roman" w:cs="Times New Roman"/>
          <w:sz w:val="24"/>
          <w:szCs w:val="24"/>
        </w:rPr>
        <w:t xml:space="preserve"> се изпълнява при условията на режим „минимална помощ“ (de minimis) съгласно Регламент (ЕС) № 2023/2831 на Комисията от 13 декември 2023 г. относно прилагането на членове 107 и 108 от Договора за функционирането на Европейския съюз към помощта de minimis (OВ L, 2023/2831, 15.12.2023 OB). </w:t>
      </w:r>
    </w:p>
    <w:p w:rsidR="00580742" w:rsidRPr="00E60202" w:rsidRDefault="00A258E7">
      <w:pPr>
        <w:pStyle w:val="ListParagraph"/>
        <w:shd w:val="clear" w:color="auto" w:fill="FFFFFF" w:themeFill="background1"/>
        <w:snapToGrid w:val="0"/>
        <w:spacing w:after="120" w:line="360" w:lineRule="auto"/>
        <w:ind w:left="0"/>
        <w:jc w:val="both"/>
        <w:rPr>
          <w:i/>
          <w:iCs/>
        </w:rPr>
      </w:pPr>
      <w:r w:rsidRPr="00E60202">
        <w:rPr>
          <w:i/>
          <w:iCs/>
        </w:rPr>
        <w:t>Условията са приложими към получателите на минимална помощ“ (de minimis), а именно кандидат или партньор по проекта, които са избрали средствата да се финансират в режим на „минимална помощ“ (помощ “de minimis”).</w:t>
      </w:r>
    </w:p>
    <w:p w:rsidR="00580742" w:rsidRPr="00E60202" w:rsidRDefault="00A258E7">
      <w:pPr>
        <w:pStyle w:val="ListParagraph"/>
        <w:shd w:val="clear" w:color="auto" w:fill="FFFFFF" w:themeFill="background1"/>
        <w:snapToGrid w:val="0"/>
        <w:spacing w:after="120" w:line="360" w:lineRule="auto"/>
        <w:ind w:left="0"/>
        <w:jc w:val="both"/>
        <w:rPr>
          <w:b/>
        </w:rPr>
      </w:pPr>
      <w:r w:rsidRPr="00E60202">
        <w:rPr>
          <w:b/>
        </w:rPr>
        <w:t xml:space="preserve">Администратор на помощта е МРРБ. </w:t>
      </w:r>
    </w:p>
    <w:tbl>
      <w:tblPr>
        <w:tblW w:w="9639" w:type="dxa"/>
        <w:tblLayout w:type="fixed"/>
        <w:tblLook w:val="0000" w:firstRow="0" w:lastRow="0" w:firstColumn="0" w:lastColumn="0" w:noHBand="0" w:noVBand="0"/>
      </w:tblPr>
      <w:tblGrid>
        <w:gridCol w:w="9639"/>
      </w:tblGrid>
      <w:tr w:rsidR="00580742" w:rsidRPr="00E60202">
        <w:trPr>
          <w:trHeight w:val="142"/>
        </w:trPr>
        <w:tc>
          <w:tcPr>
            <w:tcW w:w="9639" w:type="dxa"/>
            <w:shd w:val="clear" w:color="auto" w:fill="auto"/>
            <w:vAlign w:val="center"/>
          </w:tcPr>
          <w:p w:rsidR="00580742" w:rsidRPr="00E60202" w:rsidRDefault="00A258E7">
            <w:pPr>
              <w:pStyle w:val="ListParagraph"/>
              <w:widowControl w:val="0"/>
              <w:shd w:val="clear" w:color="auto" w:fill="FFFFFF" w:themeFill="background1"/>
              <w:snapToGrid w:val="0"/>
              <w:spacing w:after="120" w:line="360" w:lineRule="auto"/>
              <w:ind w:left="0"/>
              <w:jc w:val="both"/>
              <w:rPr>
                <w:i/>
                <w:iCs/>
              </w:rPr>
            </w:pPr>
            <w:r w:rsidRPr="00E60202">
              <w:rPr>
                <w:i/>
                <w:iCs/>
              </w:rPr>
              <w:t>Настоящите условия са неразделна част от Насоките за кандидатстване по процедура BG16FFPR003-4.004 „Диверсификация и адаптиране на малки и средни предприятия  към икономическия преход“</w:t>
            </w:r>
          </w:p>
          <w:p w:rsidR="00580742" w:rsidRPr="00E60202" w:rsidRDefault="00A258E7">
            <w:pPr>
              <w:pStyle w:val="ListParagraph"/>
              <w:widowControl w:val="0"/>
              <w:shd w:val="clear" w:color="auto" w:fill="FFFFFF" w:themeFill="background1"/>
              <w:snapToGrid w:val="0"/>
              <w:spacing w:after="120" w:line="360" w:lineRule="auto"/>
              <w:ind w:left="0"/>
              <w:jc w:val="both"/>
              <w:rPr>
                <w:i/>
                <w:iCs/>
              </w:rPr>
            </w:pPr>
            <w:r w:rsidRPr="00E60202">
              <w:rPr>
                <w:i/>
                <w:iCs/>
              </w:rPr>
              <w:t>Срокът на действие на настоящите условия за предоставяне на минимална помощ е до 31.12.2029 г.</w:t>
            </w:r>
          </w:p>
        </w:tc>
      </w:tr>
    </w:tbl>
    <w:p w:rsidR="00580742" w:rsidRPr="00E60202" w:rsidRDefault="00A258E7">
      <w:pPr>
        <w:widowControl w:val="0"/>
        <w:numPr>
          <w:ilvl w:val="0"/>
          <w:numId w:val="1"/>
        </w:numPr>
        <w:shd w:val="clear" w:color="auto" w:fill="FFFFFF" w:themeFill="background1"/>
        <w:snapToGrid w:val="0"/>
        <w:spacing w:after="120" w:line="360" w:lineRule="auto"/>
        <w:rPr>
          <w:rFonts w:ascii="Times New Roman" w:hAnsi="Times New Roman" w:cs="Times New Roman"/>
          <w:b/>
          <w:bCs/>
          <w:sz w:val="24"/>
          <w:szCs w:val="24"/>
        </w:rPr>
      </w:pPr>
      <w:r w:rsidRPr="00E60202">
        <w:rPr>
          <w:rFonts w:ascii="Times New Roman" w:hAnsi="Times New Roman" w:cs="Times New Roman"/>
          <w:b/>
          <w:bCs/>
          <w:sz w:val="24"/>
          <w:szCs w:val="24"/>
        </w:rPr>
        <w:t xml:space="preserve">РЕЖИМ ЗА ПРЕДОСТАВЯНЕ НА СРЕДСТВАТА </w:t>
      </w:r>
      <w:r w:rsidRPr="00E60202">
        <w:rPr>
          <w:rFonts w:ascii="Times New Roman" w:hAnsi="Times New Roman" w:cs="Times New Roman"/>
          <w:b/>
          <w:sz w:val="24"/>
          <w:szCs w:val="24"/>
        </w:rPr>
        <w:t>„МИНИМАЛНА ПОМОЩ“ (ПОМОЩ „DE MINIMIS”)</w:t>
      </w:r>
    </w:p>
    <w:p w:rsidR="00580742" w:rsidRPr="00E60202" w:rsidRDefault="00A258E7">
      <w:pPr>
        <w:widowControl w:val="0"/>
        <w:numPr>
          <w:ilvl w:val="1"/>
          <w:numId w:val="1"/>
        </w:numPr>
        <w:shd w:val="clear" w:color="auto" w:fill="FFFFFF" w:themeFill="background1"/>
        <w:snapToGrid w:val="0"/>
        <w:spacing w:after="120" w:line="360" w:lineRule="auto"/>
        <w:jc w:val="both"/>
        <w:rPr>
          <w:rFonts w:ascii="Times New Roman" w:hAnsi="Times New Roman" w:cs="Times New Roman"/>
          <w:b/>
          <w:sz w:val="24"/>
          <w:szCs w:val="24"/>
        </w:rPr>
      </w:pPr>
      <w:r w:rsidRPr="00E60202">
        <w:rPr>
          <w:rFonts w:ascii="Times New Roman" w:hAnsi="Times New Roman" w:cs="Times New Roman"/>
          <w:b/>
          <w:sz w:val="24"/>
          <w:szCs w:val="24"/>
        </w:rPr>
        <w:t>Забранителното поле на Регламент (ЕС) № 2023/2831. Критерии за недопустимост съгласно Регламент (ЕС) № 2023/2831</w:t>
      </w:r>
    </w:p>
    <w:p w:rsidR="00580742" w:rsidRPr="00E60202" w:rsidRDefault="00A258E7">
      <w:pPr>
        <w:widowControl w:val="0"/>
        <w:shd w:val="clear" w:color="auto" w:fill="FFFFFF" w:themeFill="background1"/>
        <w:snapToGrid w:val="0"/>
        <w:spacing w:after="120" w:line="360" w:lineRule="auto"/>
        <w:ind w:left="4"/>
        <w:jc w:val="both"/>
        <w:rPr>
          <w:rFonts w:ascii="Times New Roman" w:hAnsi="Times New Roman" w:cs="Times New Roman"/>
          <w:sz w:val="24"/>
          <w:szCs w:val="24"/>
        </w:rPr>
      </w:pPr>
      <w:r w:rsidRPr="00E60202">
        <w:rPr>
          <w:rFonts w:ascii="Times New Roman" w:hAnsi="Times New Roman" w:cs="Times New Roman"/>
          <w:sz w:val="24"/>
          <w:szCs w:val="24"/>
        </w:rPr>
        <w:t xml:space="preserve">Основно изискване към получатели на помощта е, че същите </w:t>
      </w:r>
      <w:r w:rsidRPr="00E60202">
        <w:rPr>
          <w:rFonts w:ascii="Times New Roman" w:hAnsi="Times New Roman" w:cs="Times New Roman"/>
          <w:b/>
          <w:sz w:val="24"/>
          <w:szCs w:val="24"/>
        </w:rPr>
        <w:t>не могат да получат минимална помощ, в случай че попадат в забранителното поле на Регламент (ЕС) № 2023/2831</w:t>
      </w:r>
      <w:r w:rsidRPr="00E60202">
        <w:rPr>
          <w:rFonts w:ascii="Times New Roman" w:hAnsi="Times New Roman" w:cs="Times New Roman"/>
          <w:sz w:val="24"/>
          <w:szCs w:val="24"/>
        </w:rPr>
        <w:t xml:space="preserve"> и конкретно тяхната основна дейност или помощта, за която</w:t>
      </w:r>
      <w:r w:rsidRPr="00E60202">
        <w:rPr>
          <w:rFonts w:ascii="Times New Roman" w:hAnsi="Times New Roman" w:cs="Times New Roman"/>
          <w:b/>
          <w:bCs/>
          <w:sz w:val="24"/>
          <w:szCs w:val="24"/>
        </w:rPr>
        <w:t xml:space="preserve"> </w:t>
      </w:r>
      <w:r w:rsidRPr="00E60202">
        <w:rPr>
          <w:rFonts w:ascii="Times New Roman" w:hAnsi="Times New Roman" w:cs="Times New Roman"/>
          <w:sz w:val="24"/>
          <w:szCs w:val="24"/>
        </w:rPr>
        <w:t>кандидатстват за финансиране се отнася до (може да се свърже с):</w:t>
      </w:r>
    </w:p>
    <w:p w:rsidR="00580742" w:rsidRPr="00E60202" w:rsidRDefault="00A258E7">
      <w:pPr>
        <w:spacing w:after="0" w:line="360" w:lineRule="auto"/>
        <w:jc w:val="both"/>
        <w:rPr>
          <w:rFonts w:ascii="Times New Roman" w:eastAsia="Times New Roman" w:hAnsi="Times New Roman" w:cs="Times New Roman"/>
          <w:sz w:val="24"/>
          <w:szCs w:val="24"/>
        </w:rPr>
      </w:pPr>
      <w:r w:rsidRPr="00E60202">
        <w:rPr>
          <w:rFonts w:ascii="Times New Roman" w:eastAsia="Times New Roman" w:hAnsi="Times New Roman" w:cs="Times New Roman"/>
          <w:sz w:val="24"/>
          <w:szCs w:val="24"/>
        </w:rPr>
        <w:lastRenderedPageBreak/>
        <w:t>а) помощите, предоставяни на предприятия с дейност в първичното производство на продукти от риболов и аквакултури;</w:t>
      </w:r>
    </w:p>
    <w:p w:rsidR="00580742" w:rsidRPr="00E60202" w:rsidRDefault="00A258E7">
      <w:pPr>
        <w:spacing w:after="0" w:line="360" w:lineRule="auto"/>
        <w:jc w:val="both"/>
        <w:rPr>
          <w:rFonts w:ascii="Times New Roman" w:eastAsia="Times New Roman" w:hAnsi="Times New Roman" w:cs="Times New Roman"/>
          <w:sz w:val="24"/>
          <w:szCs w:val="24"/>
        </w:rPr>
      </w:pPr>
      <w:r w:rsidRPr="00E60202">
        <w:rPr>
          <w:rFonts w:ascii="Times New Roman" w:eastAsia="Times New Roman" w:hAnsi="Times New Roman" w:cs="Times New Roman"/>
          <w:sz w:val="24"/>
          <w:szCs w:val="24"/>
        </w:rPr>
        <w:t>б) помощите, предоставени на предприятия, осъществяващи дейност в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p w:rsidR="00580742" w:rsidRPr="00E60202" w:rsidRDefault="00A258E7">
      <w:pPr>
        <w:spacing w:after="0" w:line="360" w:lineRule="auto"/>
        <w:rPr>
          <w:rFonts w:ascii="Times New Roman" w:eastAsia="Times New Roman" w:hAnsi="Times New Roman" w:cs="Times New Roman"/>
          <w:sz w:val="24"/>
          <w:szCs w:val="24"/>
        </w:rPr>
      </w:pPr>
      <w:r w:rsidRPr="00E60202">
        <w:rPr>
          <w:rFonts w:ascii="Times New Roman" w:eastAsia="Times New Roman" w:hAnsi="Times New Roman" w:cs="Times New Roman"/>
          <w:sz w:val="24"/>
          <w:szCs w:val="24"/>
        </w:rPr>
        <w:t>в) помощите, предоставяни на предприятия, които извършват дейност в областта на първичното производство на селскостопански продукти;</w:t>
      </w:r>
    </w:p>
    <w:p w:rsidR="00580742" w:rsidRPr="00E60202" w:rsidRDefault="00A258E7">
      <w:pPr>
        <w:spacing w:after="0" w:line="360" w:lineRule="auto"/>
        <w:rPr>
          <w:rFonts w:ascii="Times New Roman" w:eastAsia="Times New Roman" w:hAnsi="Times New Roman" w:cs="Times New Roman"/>
          <w:sz w:val="24"/>
          <w:szCs w:val="24"/>
        </w:rPr>
      </w:pPr>
      <w:r w:rsidRPr="00E60202">
        <w:rPr>
          <w:rFonts w:ascii="Times New Roman" w:eastAsia="Times New Roman" w:hAnsi="Times New Roman" w:cs="Times New Roman"/>
          <w:sz w:val="24"/>
          <w:szCs w:val="24"/>
        </w:rPr>
        <w:t>г) помощите, предоставяни на предприятия, които извършват дейности в преработката на селскостопански продукти и търговията с тях, в един от следните случаи:</w:t>
      </w:r>
    </w:p>
    <w:p w:rsidR="00580742" w:rsidRPr="00E60202" w:rsidRDefault="00A258E7">
      <w:pPr>
        <w:spacing w:after="0" w:line="360" w:lineRule="auto"/>
        <w:jc w:val="both"/>
        <w:rPr>
          <w:rFonts w:ascii="Times New Roman" w:eastAsia="Times New Roman" w:hAnsi="Times New Roman" w:cs="Times New Roman"/>
          <w:sz w:val="24"/>
          <w:szCs w:val="24"/>
        </w:rPr>
      </w:pPr>
      <w:r w:rsidRPr="00E60202">
        <w:rPr>
          <w:rFonts w:ascii="Times New Roman" w:eastAsia="Times New Roman" w:hAnsi="Times New Roman" w:cs="Times New Roman"/>
          <w:sz w:val="24"/>
          <w:szCs w:val="24"/>
        </w:rPr>
        <w:t>i)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rsidR="00580742" w:rsidRPr="00E60202" w:rsidRDefault="00A258E7">
      <w:pPr>
        <w:spacing w:after="0" w:line="360" w:lineRule="auto"/>
        <w:jc w:val="both"/>
        <w:rPr>
          <w:rFonts w:ascii="Times New Roman" w:eastAsia="Times New Roman" w:hAnsi="Times New Roman" w:cs="Times New Roman"/>
          <w:sz w:val="24"/>
          <w:szCs w:val="24"/>
        </w:rPr>
      </w:pPr>
      <w:r w:rsidRPr="00E60202">
        <w:rPr>
          <w:rFonts w:ascii="Times New Roman" w:eastAsia="Times New Roman" w:hAnsi="Times New Roman" w:cs="Times New Roman"/>
          <w:sz w:val="24"/>
          <w:szCs w:val="24"/>
        </w:rPr>
        <w:t>ii) когато помощта е обвързана със задължението да бъде прехвърлена частично или изцяло на първичните производители;</w:t>
      </w:r>
    </w:p>
    <w:p w:rsidR="00580742" w:rsidRPr="00E60202" w:rsidRDefault="00A258E7">
      <w:pPr>
        <w:spacing w:after="0" w:line="360" w:lineRule="auto"/>
        <w:jc w:val="both"/>
        <w:rPr>
          <w:rFonts w:ascii="Times New Roman" w:eastAsia="Times New Roman" w:hAnsi="Times New Roman" w:cs="Times New Roman"/>
          <w:sz w:val="24"/>
          <w:szCs w:val="24"/>
        </w:rPr>
      </w:pPr>
      <w:r w:rsidRPr="00E60202">
        <w:rPr>
          <w:rFonts w:ascii="Times New Roman" w:eastAsia="Times New Roman" w:hAnsi="Times New Roman" w:cs="Times New Roman"/>
          <w:sz w:val="24"/>
          <w:szCs w:val="24"/>
        </w:rPr>
        <w:t>д) помощите, отпуснати за дейности, 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p>
    <w:p w:rsidR="00580742" w:rsidRPr="00E60202" w:rsidRDefault="00A258E7">
      <w:pPr>
        <w:spacing w:after="0" w:line="360" w:lineRule="auto"/>
        <w:jc w:val="both"/>
        <w:rPr>
          <w:rFonts w:ascii="Times New Roman" w:eastAsia="Times New Roman" w:hAnsi="Times New Roman" w:cs="Times New Roman"/>
          <w:sz w:val="24"/>
          <w:szCs w:val="24"/>
        </w:rPr>
      </w:pPr>
      <w:r w:rsidRPr="00E60202">
        <w:rPr>
          <w:rFonts w:ascii="Times New Roman" w:eastAsia="Times New Roman" w:hAnsi="Times New Roman" w:cs="Times New Roman"/>
          <w:sz w:val="24"/>
          <w:szCs w:val="24"/>
        </w:rPr>
        <w:t>е) помощите, обвързани с използването на местни стоки и услуги вместо вносни стоки и услуги</w:t>
      </w:r>
    </w:p>
    <w:p w:rsidR="00580742" w:rsidRPr="00E60202" w:rsidRDefault="00580742">
      <w:pPr>
        <w:widowControl w:val="0"/>
        <w:shd w:val="clear" w:color="auto" w:fill="FFFFFF" w:themeFill="background1"/>
        <w:snapToGrid w:val="0"/>
        <w:spacing w:after="120" w:line="360" w:lineRule="auto"/>
        <w:ind w:left="4"/>
        <w:jc w:val="both"/>
        <w:rPr>
          <w:rFonts w:ascii="Times New Roman" w:hAnsi="Times New Roman" w:cs="Times New Roman"/>
          <w:sz w:val="24"/>
          <w:szCs w:val="24"/>
        </w:rPr>
      </w:pP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Когато кандидат (предприятие –получател) и партньор по проекта, получател на минимална помощ упражнява дейност в един от секторите, посочени по-горе в букви а), б), в) или г), както и в един или повече от секторите или дейностите, обхванати от Регламент (ЕС) № 2023/2831 г., то Регламентът се прилага спрямо помощта, предоставяна за посочените сектори или дейности,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не се ползват от помощ de minimis, предоставена съгласно Регламент (ЕС) № 2023/2831 г.</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Съгласно чл. 2, т. 1 от Регламент (ЕС) № 2023/2831:</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lastRenderedPageBreak/>
        <w:t>а) „селскостопански продукти“ са продукти, изброени в приложение I към Договора, с изключение на продуктите от риболов и аквакултури, попадащи в приложното поле на Регламент (ЕС) № 1379/2013;</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б) „първично селскостопанско производство“ означава производство на продукти на почвата и на животновъдството, изброени в приложение I към Договора, без да се извършват никакви по-нататъшни операции, с които се променя естеството на тези продукти;</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 xml:space="preserve">в) „преработка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по подготвяне на животински или растителен продукт за първата му продажба; </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г) „търговия със селскостопански продукт“ означава държане или излагане на 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д) „продукти от риболов и аквакултури“ означава продуктите, определени в член 5, букви а) и б) от Регламент (ЕС) № 1379/2013;</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 xml:space="preserve">е) „първично производство на продукти от риболов и аквакултури“ означава всички операции, свързани с риболова, развъждането или отглеждането на водни организми, както и дейностите в стопанството, или операции на борда, които са необходими за подготовката на животно или растение за първата продажба, включително нарязване, </w:t>
      </w:r>
      <w:proofErr w:type="spellStart"/>
      <w:r w:rsidRPr="00E60202">
        <w:rPr>
          <w:rFonts w:ascii="Times New Roman" w:hAnsi="Times New Roman" w:cs="Times New Roman"/>
          <w:sz w:val="24"/>
          <w:szCs w:val="24"/>
        </w:rPr>
        <w:t>филетиране</w:t>
      </w:r>
      <w:proofErr w:type="spellEnd"/>
      <w:r w:rsidRPr="00E60202">
        <w:rPr>
          <w:rFonts w:ascii="Times New Roman" w:hAnsi="Times New Roman" w:cs="Times New Roman"/>
          <w:sz w:val="24"/>
          <w:szCs w:val="24"/>
        </w:rPr>
        <w:t xml:space="preserve"> или замразяване, както и първата продажба на прекупвачи или преработватели;</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ж) „преработка и предлагане на пазара на продукти от риболов и аквакултури“ означава всички операции, включително манипулация, обработка и преобразуване, извършвани след момента на разтоварване на брега или събиране в случай на аквакултури, които водят до получаването на преработен продукт, както и до разпространението му;</w:t>
      </w:r>
    </w:p>
    <w:p w:rsidR="00580742" w:rsidRPr="00E60202" w:rsidRDefault="00580742">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В случаите, когато за съответния субект (кандидат и/или партньор по проекта) това не може да бъде гарантирано и не може по подходящ начин да бъде уверена, че субектът попада в обхвата на Регламент (ЕС) № 2023/2831, то съответния субект не може да получи минимална помощ.</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 xml:space="preserve">За целите на проверката от кандидата/партньора попълва Приложение 3 и 3.2 Декларация минимална помощ, включващо и указания за попълване на декларацията. </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Важно!</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 xml:space="preserve">За да удостоверят, че осъществяват икономическата си дейност в допустимите сектори, съответния кандидат/партньор следва да посочи в </w:t>
      </w:r>
      <w:r w:rsidRPr="00E60202">
        <w:rPr>
          <w:rFonts w:ascii="Times New Roman" w:hAnsi="Times New Roman" w:cs="Times New Roman"/>
          <w:bCs/>
          <w:sz w:val="24"/>
          <w:szCs w:val="24"/>
        </w:rPr>
        <w:t>Декларацията минимални помощи</w:t>
      </w:r>
      <w:r w:rsidRPr="00E60202">
        <w:rPr>
          <w:rFonts w:ascii="Times New Roman" w:hAnsi="Times New Roman" w:cs="Times New Roman"/>
          <w:sz w:val="24"/>
          <w:szCs w:val="24"/>
        </w:rPr>
        <w:t xml:space="preserve"> (</w:t>
      </w:r>
      <w:r w:rsidRPr="00E60202">
        <w:rPr>
          <w:rFonts w:ascii="Times New Roman" w:hAnsi="Times New Roman" w:cs="Times New Roman"/>
          <w:i/>
          <w:iCs/>
          <w:sz w:val="24"/>
          <w:szCs w:val="24"/>
        </w:rPr>
        <w:t>Приложение 3.2. към Условията за кандидатстване</w:t>
      </w:r>
      <w:r w:rsidRPr="00E60202">
        <w:rPr>
          <w:rFonts w:ascii="Times New Roman" w:hAnsi="Times New Roman" w:cs="Times New Roman"/>
          <w:sz w:val="24"/>
          <w:szCs w:val="24"/>
        </w:rPr>
        <w:t xml:space="preserve">) кода на основната си икономическа дейност. Кодът се определя въз основа на данните за организацията за последната приключила финансова година към датата на кандидатстване. За определяне на допустимостта се използва Класификация на икономическите дейности КИД-2008 - </w:t>
      </w:r>
      <w:hyperlink r:id="rId8">
        <w:r w:rsidRPr="00E60202">
          <w:rPr>
            <w:rStyle w:val="Hyperlink"/>
            <w:rFonts w:ascii="Times New Roman" w:hAnsi="Times New Roman" w:cs="Times New Roman"/>
            <w:sz w:val="24"/>
            <w:szCs w:val="24"/>
          </w:rPr>
          <w:t>https://www.nsi.bg/sites/default/files/files/publications/KID-2008.pdf</w:t>
        </w:r>
      </w:hyperlink>
      <w:r w:rsidRPr="00E60202">
        <w:rPr>
          <w:rFonts w:ascii="Times New Roman" w:hAnsi="Times New Roman" w:cs="Times New Roman"/>
          <w:sz w:val="24"/>
          <w:szCs w:val="24"/>
        </w:rPr>
        <w:t xml:space="preserve"> .</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Когато кандидатът упражнява едновременно дейност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бенефициентът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В случай на заявена помощ едновременно за допустим и недопустим сектор, в бюджета на проектното предложение ще бъде извършена служебна корекция за премахване на разходите за дейностите в недопустимия сектор.</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 xml:space="preserve">С оглед горното, кандидатът представя като условие за плащане, индивидуален сметкоплан, утвърден от ръководството на предприятието, с включени в него </w:t>
      </w:r>
      <w:r w:rsidRPr="00E60202">
        <w:rPr>
          <w:rFonts w:ascii="Times New Roman" w:hAnsi="Times New Roman" w:cs="Times New Roman"/>
          <w:sz w:val="24"/>
          <w:szCs w:val="24"/>
        </w:rPr>
        <w:lastRenderedPageBreak/>
        <w:t>обособените счетоводни сметки (подсметки), специално открити за проектното предложение.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rsidR="00580742" w:rsidRPr="00E60202" w:rsidRDefault="00580742">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p>
    <w:p w:rsidR="00580742" w:rsidRPr="00E60202" w:rsidRDefault="00A258E7">
      <w:pPr>
        <w:widowControl w:val="0"/>
        <w:numPr>
          <w:ilvl w:val="1"/>
          <w:numId w:val="1"/>
        </w:numPr>
        <w:shd w:val="clear" w:color="auto" w:fill="FFFFFF" w:themeFill="background1"/>
        <w:snapToGrid w:val="0"/>
        <w:spacing w:after="120" w:line="360" w:lineRule="auto"/>
        <w:jc w:val="both"/>
        <w:rPr>
          <w:rFonts w:ascii="Times New Roman" w:hAnsi="Times New Roman" w:cs="Times New Roman"/>
          <w:b/>
          <w:sz w:val="24"/>
          <w:szCs w:val="24"/>
        </w:rPr>
      </w:pPr>
      <w:r w:rsidRPr="00E60202">
        <w:rPr>
          <w:rFonts w:ascii="Times New Roman" w:hAnsi="Times New Roman" w:cs="Times New Roman"/>
          <w:b/>
          <w:sz w:val="24"/>
          <w:szCs w:val="24"/>
        </w:rPr>
        <w:t>Специфични изисквания</w:t>
      </w:r>
    </w:p>
    <w:p w:rsidR="00580742" w:rsidRPr="00E60202" w:rsidRDefault="00A258E7">
      <w:pPr>
        <w:widowControl w:val="0"/>
        <w:shd w:val="clear" w:color="auto" w:fill="FFFFFF" w:themeFill="background1"/>
        <w:snapToGrid w:val="0"/>
        <w:spacing w:after="120" w:line="360" w:lineRule="auto"/>
        <w:ind w:left="4"/>
        <w:jc w:val="both"/>
        <w:rPr>
          <w:rFonts w:ascii="Times New Roman" w:hAnsi="Times New Roman" w:cs="Times New Roman"/>
          <w:sz w:val="24"/>
          <w:szCs w:val="24"/>
        </w:rPr>
      </w:pPr>
      <w:r w:rsidRPr="00E60202">
        <w:rPr>
          <w:rFonts w:ascii="Times New Roman" w:hAnsi="Times New Roman" w:cs="Times New Roman"/>
          <w:sz w:val="24"/>
          <w:szCs w:val="24"/>
        </w:rPr>
        <w:t>За субекти (кандидат и партньора</w:t>
      </w:r>
      <w:r w:rsidR="00962A82">
        <w:rPr>
          <w:rFonts w:ascii="Times New Roman" w:hAnsi="Times New Roman" w:cs="Times New Roman"/>
          <w:sz w:val="24"/>
          <w:szCs w:val="24"/>
        </w:rPr>
        <w:t>, ако в проекта е включен партньор</w:t>
      </w:r>
      <w:r w:rsidRPr="00E60202">
        <w:rPr>
          <w:rFonts w:ascii="Times New Roman" w:hAnsi="Times New Roman" w:cs="Times New Roman"/>
          <w:sz w:val="24"/>
          <w:szCs w:val="24"/>
        </w:rPr>
        <w:t>), които са предприятия за целите на Регламент (ЕС) № 2023/2831 се прилагат изискванията на „едно и също предприятие“.</w:t>
      </w:r>
    </w:p>
    <w:p w:rsidR="00580742" w:rsidRPr="00E60202" w:rsidRDefault="00A258E7">
      <w:pPr>
        <w:widowControl w:val="0"/>
        <w:shd w:val="clear" w:color="auto" w:fill="FFFFFF" w:themeFill="background1"/>
        <w:snapToGrid w:val="0"/>
        <w:spacing w:after="120" w:line="360" w:lineRule="auto"/>
        <w:ind w:left="4"/>
        <w:jc w:val="both"/>
        <w:rPr>
          <w:rFonts w:ascii="Times New Roman" w:hAnsi="Times New Roman" w:cs="Times New Roman"/>
          <w:sz w:val="24"/>
          <w:szCs w:val="24"/>
        </w:rPr>
      </w:pPr>
      <w:r w:rsidRPr="00E60202">
        <w:rPr>
          <w:rFonts w:ascii="Times New Roman" w:hAnsi="Times New Roman" w:cs="Times New Roman"/>
          <w:sz w:val="24"/>
          <w:szCs w:val="24"/>
        </w:rPr>
        <w:t>Съгласно чл. 2, пар.2 от Регламент (ЕС) № 2023/2831, „едно и също предприятие“ означава всички предприятия, които поддържат помежду си поне един вид от следните взаимоотношения:</w:t>
      </w:r>
    </w:p>
    <w:p w:rsidR="00580742" w:rsidRPr="00E60202" w:rsidRDefault="00A258E7">
      <w:pPr>
        <w:widowControl w:val="0"/>
        <w:shd w:val="clear" w:color="auto" w:fill="FFFFFF" w:themeFill="background1"/>
        <w:snapToGrid w:val="0"/>
        <w:spacing w:after="120" w:line="360" w:lineRule="auto"/>
        <w:ind w:left="851" w:hanging="284"/>
        <w:jc w:val="both"/>
        <w:rPr>
          <w:rFonts w:ascii="Times New Roman" w:hAnsi="Times New Roman" w:cs="Times New Roman"/>
          <w:sz w:val="24"/>
          <w:szCs w:val="24"/>
        </w:rPr>
      </w:pPr>
      <w:r w:rsidRPr="00E60202">
        <w:rPr>
          <w:rFonts w:ascii="Times New Roman" w:hAnsi="Times New Roman" w:cs="Times New Roman"/>
          <w:sz w:val="24"/>
          <w:szCs w:val="24"/>
        </w:rPr>
        <w:t xml:space="preserve">а) </w:t>
      </w:r>
      <w:r w:rsidRPr="00E60202">
        <w:rPr>
          <w:rFonts w:ascii="Times New Roman" w:hAnsi="Times New Roman" w:cs="Times New Roman"/>
          <w:sz w:val="24"/>
          <w:szCs w:val="24"/>
        </w:rPr>
        <w:tab/>
        <w:t>дадено предприятие притежава мнозинството от гласовете на акционерите или съдружниците в друго предприятие;</w:t>
      </w:r>
    </w:p>
    <w:p w:rsidR="00580742" w:rsidRPr="00E60202" w:rsidRDefault="00A258E7">
      <w:pPr>
        <w:widowControl w:val="0"/>
        <w:shd w:val="clear" w:color="auto" w:fill="FFFFFF" w:themeFill="background1"/>
        <w:snapToGrid w:val="0"/>
        <w:spacing w:after="120" w:line="360" w:lineRule="auto"/>
        <w:ind w:left="851" w:hanging="284"/>
        <w:jc w:val="both"/>
        <w:rPr>
          <w:rFonts w:ascii="Times New Roman" w:hAnsi="Times New Roman" w:cs="Times New Roman"/>
          <w:sz w:val="24"/>
          <w:szCs w:val="24"/>
        </w:rPr>
      </w:pPr>
      <w:r w:rsidRPr="00E60202">
        <w:rPr>
          <w:rFonts w:ascii="Times New Roman" w:hAnsi="Times New Roman" w:cs="Times New Roman"/>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580742" w:rsidRPr="00E60202" w:rsidRDefault="00A258E7">
      <w:pPr>
        <w:widowControl w:val="0"/>
        <w:shd w:val="clear" w:color="auto" w:fill="FFFFFF" w:themeFill="background1"/>
        <w:snapToGrid w:val="0"/>
        <w:spacing w:after="120" w:line="360" w:lineRule="auto"/>
        <w:ind w:left="851" w:hanging="284"/>
        <w:jc w:val="both"/>
        <w:rPr>
          <w:rFonts w:ascii="Times New Roman" w:hAnsi="Times New Roman" w:cs="Times New Roman"/>
          <w:sz w:val="24"/>
          <w:szCs w:val="24"/>
        </w:rPr>
      </w:pPr>
      <w:r w:rsidRPr="00E60202">
        <w:rPr>
          <w:rFonts w:ascii="Times New Roman" w:hAnsi="Times New Roman" w:cs="Times New Roman"/>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580742" w:rsidRPr="00E60202" w:rsidRDefault="00A258E7">
      <w:pPr>
        <w:widowControl w:val="0"/>
        <w:shd w:val="clear" w:color="auto" w:fill="FFFFFF" w:themeFill="background1"/>
        <w:snapToGrid w:val="0"/>
        <w:spacing w:after="120" w:line="360" w:lineRule="auto"/>
        <w:ind w:left="851" w:hanging="284"/>
        <w:jc w:val="both"/>
        <w:rPr>
          <w:rFonts w:ascii="Times New Roman" w:hAnsi="Times New Roman" w:cs="Times New Roman"/>
          <w:sz w:val="24"/>
          <w:szCs w:val="24"/>
        </w:rPr>
      </w:pPr>
      <w:r w:rsidRPr="00E60202">
        <w:rPr>
          <w:rFonts w:ascii="Times New Roman" w:hAnsi="Times New Roman" w:cs="Times New Roman"/>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Предприятия, поддържащи едно от взаимоотношенията, посочени по-горе в букви а) — г), посредством едно или няколко други предприятия, също се разглеждат като едно и също предприятие.</w:t>
      </w:r>
    </w:p>
    <w:p w:rsidR="00580742" w:rsidRPr="00E60202" w:rsidRDefault="00A258E7">
      <w:pPr>
        <w:widowControl w:val="0"/>
        <w:snapToGrid w:val="0"/>
        <w:spacing w:before="120" w:after="0" w:line="360" w:lineRule="auto"/>
        <w:ind w:left="6" w:firstLine="358"/>
        <w:jc w:val="both"/>
        <w:rPr>
          <w:rFonts w:ascii="Times New Roman" w:hAnsi="Times New Roman" w:cs="Times New Roman"/>
          <w:bCs/>
          <w:sz w:val="24"/>
          <w:szCs w:val="24"/>
        </w:rPr>
      </w:pPr>
      <w:r w:rsidRPr="00E60202">
        <w:rPr>
          <w:rFonts w:ascii="Times New Roman" w:hAnsi="Times New Roman" w:cs="Times New Roman"/>
          <w:bCs/>
          <w:sz w:val="24"/>
          <w:szCs w:val="24"/>
        </w:rPr>
        <w:t xml:space="preserve">В случай, че даден субект (конкретен бенефициент/партньор) се явява „едно и също </w:t>
      </w:r>
      <w:r w:rsidRPr="00E60202">
        <w:rPr>
          <w:rFonts w:ascii="Times New Roman" w:hAnsi="Times New Roman" w:cs="Times New Roman"/>
          <w:bCs/>
          <w:sz w:val="24"/>
          <w:szCs w:val="24"/>
        </w:rPr>
        <w:lastRenderedPageBreak/>
        <w:t xml:space="preserve">предприятие“ по отношение на други предприятия и същите покриват някое от условията, описани в т. 2.2, то следва да се има предвид, че всички предприятия, образуващи „едно и също предприятие“, </w:t>
      </w:r>
      <w:r w:rsidRPr="00E60202">
        <w:rPr>
          <w:rFonts w:ascii="Times New Roman" w:hAnsi="Times New Roman" w:cs="Times New Roman"/>
          <w:b/>
          <w:bCs/>
          <w:sz w:val="24"/>
          <w:szCs w:val="24"/>
          <w:u w:val="single"/>
        </w:rPr>
        <w:t>се считат за един получател на минималната помощ</w:t>
      </w:r>
      <w:r w:rsidRPr="00E60202">
        <w:rPr>
          <w:rFonts w:ascii="Times New Roman" w:hAnsi="Times New Roman" w:cs="Times New Roman"/>
          <w:bCs/>
          <w:sz w:val="24"/>
          <w:szCs w:val="24"/>
          <w:u w:val="single"/>
        </w:rPr>
        <w:t>.</w:t>
      </w:r>
      <w:r w:rsidRPr="00E60202">
        <w:rPr>
          <w:rFonts w:ascii="Times New Roman" w:hAnsi="Times New Roman" w:cs="Times New Roman"/>
          <w:bCs/>
          <w:sz w:val="24"/>
          <w:szCs w:val="24"/>
        </w:rPr>
        <w:t xml:space="preserve"> В този случай, следва да се има предвид, че описаните в т. 2.4. допустими максимални размери на БФП и установените прагове в Регламент (ЕС) № 2023/2831 </w:t>
      </w:r>
      <w:r w:rsidRPr="00E60202">
        <w:rPr>
          <w:rFonts w:ascii="Times New Roman" w:hAnsi="Times New Roman" w:cs="Times New Roman"/>
          <w:b/>
          <w:bCs/>
          <w:sz w:val="24"/>
          <w:szCs w:val="24"/>
        </w:rPr>
        <w:t>се прилагат към този един получател, в който се включват всички, образуващи „едно и също предприятие“.</w:t>
      </w:r>
    </w:p>
    <w:p w:rsidR="00580742" w:rsidRPr="00E60202" w:rsidRDefault="00580742">
      <w:pPr>
        <w:widowControl w:val="0"/>
        <w:snapToGrid w:val="0"/>
        <w:spacing w:before="120" w:after="0" w:line="360" w:lineRule="auto"/>
        <w:ind w:left="6" w:firstLine="358"/>
        <w:jc w:val="both"/>
        <w:rPr>
          <w:rFonts w:ascii="Times New Roman" w:hAnsi="Times New Roman" w:cs="Times New Roman"/>
          <w:bCs/>
          <w:sz w:val="24"/>
          <w:szCs w:val="24"/>
        </w:rPr>
      </w:pPr>
    </w:p>
    <w:p w:rsidR="00580742" w:rsidRPr="00E60202" w:rsidRDefault="00A258E7">
      <w:pPr>
        <w:widowControl w:val="0"/>
        <w:numPr>
          <w:ilvl w:val="1"/>
          <w:numId w:val="1"/>
        </w:numPr>
        <w:shd w:val="clear" w:color="auto" w:fill="FFFFFF" w:themeFill="background1"/>
        <w:snapToGrid w:val="0"/>
        <w:spacing w:after="120" w:line="360" w:lineRule="auto"/>
        <w:jc w:val="both"/>
        <w:rPr>
          <w:rFonts w:ascii="Times New Roman" w:hAnsi="Times New Roman" w:cs="Times New Roman"/>
          <w:b/>
          <w:sz w:val="24"/>
          <w:szCs w:val="24"/>
        </w:rPr>
      </w:pPr>
      <w:r w:rsidRPr="00E60202">
        <w:rPr>
          <w:rFonts w:ascii="Times New Roman" w:hAnsi="Times New Roman" w:cs="Times New Roman"/>
          <w:b/>
          <w:sz w:val="24"/>
          <w:szCs w:val="24"/>
        </w:rPr>
        <w:t xml:space="preserve"> Допълнителни условия към получателите на помощ</w:t>
      </w:r>
    </w:p>
    <w:p w:rsidR="00580742" w:rsidRPr="00E60202" w:rsidRDefault="00A258E7">
      <w:pPr>
        <w:widowControl w:val="0"/>
        <w:shd w:val="clear" w:color="auto" w:fill="FFFFFF" w:themeFill="background1"/>
        <w:snapToGrid w:val="0"/>
        <w:spacing w:after="120" w:line="360" w:lineRule="auto"/>
        <w:ind w:left="4"/>
        <w:jc w:val="both"/>
        <w:rPr>
          <w:rFonts w:ascii="Times New Roman" w:hAnsi="Times New Roman" w:cs="Times New Roman"/>
          <w:sz w:val="24"/>
          <w:szCs w:val="24"/>
        </w:rPr>
      </w:pPr>
      <w:r w:rsidRPr="00E60202">
        <w:rPr>
          <w:rFonts w:ascii="Times New Roman" w:hAnsi="Times New Roman" w:cs="Times New Roman"/>
          <w:sz w:val="24"/>
          <w:szCs w:val="24"/>
        </w:rPr>
        <w:t xml:space="preserve">Регламент (ЕС) № 2023/2831 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rsidR="00580742" w:rsidRPr="00E60202" w:rsidRDefault="00A258E7">
      <w:pPr>
        <w:widowControl w:val="0"/>
        <w:shd w:val="clear" w:color="auto" w:fill="FFFFFF" w:themeFill="background1"/>
        <w:snapToGrid w:val="0"/>
        <w:spacing w:after="120" w:line="360" w:lineRule="auto"/>
        <w:jc w:val="both"/>
        <w:rPr>
          <w:rFonts w:ascii="Times New Roman" w:hAnsi="Times New Roman" w:cs="Times New Roman"/>
          <w:sz w:val="24"/>
          <w:szCs w:val="24"/>
        </w:rPr>
      </w:pPr>
      <w:r w:rsidRPr="00E60202">
        <w:rPr>
          <w:rFonts w:ascii="Times New Roman" w:hAnsi="Times New Roman" w:cs="Times New Roman"/>
          <w:sz w:val="24"/>
          <w:szCs w:val="24"/>
        </w:rPr>
        <w:t>Помощта по настоящата процедура се изразява като парични средства, поради което се счита за прозрачна помощ. Размерът на средствата се изразява в брутно изражение, преди облагане с данъци или други такси.</w:t>
      </w:r>
    </w:p>
    <w:p w:rsidR="00580742" w:rsidRPr="00E60202" w:rsidRDefault="00A258E7">
      <w:pPr>
        <w:widowControl w:val="0"/>
        <w:shd w:val="clear" w:color="auto" w:fill="FFFFFF" w:themeFill="background1"/>
        <w:snapToGrid w:val="0"/>
        <w:spacing w:after="120" w:line="360" w:lineRule="auto"/>
        <w:jc w:val="both"/>
        <w:rPr>
          <w:rFonts w:ascii="Times New Roman" w:hAnsi="Times New Roman" w:cs="Times New Roman"/>
          <w:sz w:val="24"/>
          <w:szCs w:val="24"/>
        </w:rPr>
      </w:pPr>
      <w:r w:rsidRPr="00E60202">
        <w:rPr>
          <w:rFonts w:ascii="Times New Roman" w:hAnsi="Times New Roman" w:cs="Times New Roman"/>
          <w:sz w:val="24"/>
          <w:szCs w:val="24"/>
        </w:rPr>
        <w:t>Помощите, които се предоставят на няколко части (т.е. когато се предвижда да се ползва авансово и/или междинно/и плащане/</w:t>
      </w:r>
      <w:proofErr w:type="spellStart"/>
      <w:r w:rsidRPr="00E60202">
        <w:rPr>
          <w:rFonts w:ascii="Times New Roman" w:hAnsi="Times New Roman" w:cs="Times New Roman"/>
          <w:sz w:val="24"/>
          <w:szCs w:val="24"/>
        </w:rPr>
        <w:t>ия</w:t>
      </w:r>
      <w:proofErr w:type="spellEnd"/>
      <w:r w:rsidRPr="00E60202">
        <w:rPr>
          <w:rFonts w:ascii="Times New Roman" w:hAnsi="Times New Roman" w:cs="Times New Roman"/>
          <w:sz w:val="24"/>
          <w:szCs w:val="24"/>
        </w:rPr>
        <w:t>), се сконтират към техния размер към момента на предоставяне. Лихвеният процент, който се използва за сконтиране, е сконтовият процент, приложим към момента на предоставяне на помощта, в съответствие с чл. 3, пар. 6 от Регламент (ЕС) № 2023/2831 на Комисията от 13 декември 2023 г.</w:t>
      </w:r>
    </w:p>
    <w:p w:rsidR="00580742" w:rsidRPr="00E60202" w:rsidRDefault="00A258E7">
      <w:pPr>
        <w:widowControl w:val="0"/>
        <w:shd w:val="clear" w:color="auto" w:fill="FFFFFF" w:themeFill="background1"/>
        <w:snapToGrid w:val="0"/>
        <w:spacing w:after="120" w:line="360" w:lineRule="auto"/>
        <w:jc w:val="both"/>
        <w:rPr>
          <w:rFonts w:ascii="Times New Roman" w:hAnsi="Times New Roman" w:cs="Times New Roman"/>
          <w:sz w:val="24"/>
          <w:szCs w:val="24"/>
        </w:rPr>
      </w:pPr>
      <w:r w:rsidRPr="00E60202">
        <w:rPr>
          <w:rFonts w:ascii="Times New Roman" w:hAnsi="Times New Roman" w:cs="Times New Roman"/>
          <w:sz w:val="24"/>
          <w:szCs w:val="24"/>
        </w:rPr>
        <w:t xml:space="preserve">В случай на предоставяне на минималната помощ на части, същата подлежи на сконтиране към момента на предоставяне на помощта. Сконтирането се извършва чрез </w:t>
      </w:r>
      <w:r w:rsidRPr="00E60202">
        <w:rPr>
          <w:rFonts w:ascii="Times New Roman" w:hAnsi="Times New Roman" w:cs="Times New Roman"/>
          <w:bCs/>
          <w:sz w:val="24"/>
          <w:szCs w:val="24"/>
        </w:rPr>
        <w:t>прилагане на следната формула:</w:t>
      </w:r>
      <w:r w:rsidRPr="00E60202">
        <w:rPr>
          <w:rFonts w:ascii="Times New Roman" w:hAnsi="Times New Roman" w:cs="Times New Roman"/>
          <w:sz w:val="24"/>
          <w:szCs w:val="24"/>
        </w:rPr>
        <w:t xml:space="preserve"> </w:t>
      </w:r>
      <w:r w:rsidRPr="00E60202">
        <w:rPr>
          <w:rFonts w:ascii="Times New Roman" w:hAnsi="Times New Roman" w:cs="Times New Roman"/>
          <w:bCs/>
          <w:sz w:val="24"/>
          <w:szCs w:val="24"/>
        </w:rPr>
        <w:t>PV = FV/(1+i)</w:t>
      </w:r>
      <w:r w:rsidRPr="00E60202">
        <w:rPr>
          <w:rFonts w:ascii="Times New Roman" w:hAnsi="Times New Roman" w:cs="Times New Roman"/>
          <w:bCs/>
          <w:sz w:val="24"/>
          <w:szCs w:val="24"/>
          <w:vertAlign w:val="superscript"/>
        </w:rPr>
        <w:t>t</w:t>
      </w:r>
      <w:r w:rsidRPr="00E60202">
        <w:rPr>
          <w:rFonts w:ascii="Times New Roman" w:hAnsi="Times New Roman" w:cs="Times New Roman"/>
          <w:bCs/>
          <w:sz w:val="24"/>
          <w:szCs w:val="24"/>
        </w:rPr>
        <w:t xml:space="preserve"> , където PV е сконтирана стойност, FV е реална стойност,  i е лихвеният процент</w:t>
      </w:r>
      <w:r w:rsidRPr="00E60202">
        <w:rPr>
          <w:rStyle w:val="FootnoteReference"/>
          <w:rFonts w:ascii="Times New Roman" w:hAnsi="Times New Roman" w:cs="Times New Roman"/>
          <w:bCs/>
          <w:sz w:val="24"/>
          <w:szCs w:val="24"/>
        </w:rPr>
        <w:footnoteReference w:id="1"/>
      </w:r>
      <w:r w:rsidRPr="00E60202">
        <w:rPr>
          <w:rFonts w:ascii="Times New Roman" w:hAnsi="Times New Roman" w:cs="Times New Roman"/>
          <w:bCs/>
          <w:sz w:val="24"/>
          <w:szCs w:val="24"/>
        </w:rPr>
        <w:t xml:space="preserve">, а t – периода на изпълнение в години. </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 xml:space="preserve">В случай на сливания или придобивания на субекти, представляващи търговски дружества, извършени през периода на кандидатстване или изпълнение на проекта, към датата на предоставянето на помощта, всички помощи de minimis, предоставяни на някое от сливащите се предприятия по схемата, се вземат под внимание, за да се определи дали </w:t>
      </w:r>
      <w:r w:rsidRPr="00E60202">
        <w:rPr>
          <w:rFonts w:ascii="Times New Roman" w:hAnsi="Times New Roman" w:cs="Times New Roman"/>
          <w:sz w:val="24"/>
          <w:szCs w:val="24"/>
        </w:rPr>
        <w:lastRenderedPageBreak/>
        <w:t>помощта, отпусната по схемата на новото предприятие или на придобиващото предприятие, няма да доведе до превишаване на съответния таван.</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Ако в периода на кандидатстване или изпълнение на проекта, към датата на предоставянето на помощта, дадено предприятие се разделя на две или повече отделни предприятия, помощта de minimis по схемата се начислява на това предприятие, което поема дейността. В случай, че последното не е възможно се извършва пропорционално разделяне на помощта на база на счетоводната стойност на собствения капитал на новите предприятия.</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 xml:space="preserve">Сливанията, придобиванията и разделянията също са предмет на деклариране от получателите на помощта в декларацията по Приложение 3.2. към Насоките за кандидатстване. Същите са необходими с оглед правилното установяване на размера на получените минимални помощи от даден субект (КБ). </w:t>
      </w:r>
    </w:p>
    <w:p w:rsidR="00580742" w:rsidRPr="00E60202" w:rsidRDefault="00A258E7">
      <w:pPr>
        <w:widowControl w:val="0"/>
        <w:numPr>
          <w:ilvl w:val="1"/>
          <w:numId w:val="1"/>
        </w:numPr>
        <w:shd w:val="clear" w:color="auto" w:fill="FFFFFF" w:themeFill="background1"/>
        <w:snapToGrid w:val="0"/>
        <w:spacing w:after="120" w:line="360" w:lineRule="auto"/>
        <w:jc w:val="both"/>
        <w:rPr>
          <w:rFonts w:ascii="Times New Roman" w:hAnsi="Times New Roman" w:cs="Times New Roman"/>
          <w:b/>
          <w:sz w:val="24"/>
          <w:szCs w:val="24"/>
        </w:rPr>
      </w:pPr>
      <w:r w:rsidRPr="00E60202">
        <w:rPr>
          <w:rFonts w:ascii="Times New Roman" w:hAnsi="Times New Roman" w:cs="Times New Roman"/>
          <w:b/>
          <w:sz w:val="24"/>
          <w:szCs w:val="24"/>
        </w:rPr>
        <w:t xml:space="preserve"> Допустим максимален размер на средствата</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b/>
          <w:sz w:val="24"/>
          <w:szCs w:val="24"/>
        </w:rPr>
      </w:pPr>
      <w:r w:rsidRPr="00E60202">
        <w:rPr>
          <w:rFonts w:ascii="Times New Roman" w:hAnsi="Times New Roman" w:cs="Times New Roman"/>
          <w:b/>
          <w:sz w:val="24"/>
          <w:szCs w:val="24"/>
        </w:rPr>
        <w:t xml:space="preserve">Максималния размер на помощта (Общият размер на помощта) за предприятие (конкретен бенефициент или партньор), за което се прилагат правилата за минимална помощ (de minimis), съгласно Регламент (ЕС) № 2023/2831 относно прилагането на членове 107 и 108 от Договора за функциониране на Европейския съюз към помощта „de minimis“, заедно с получените от предприятието други минимални помощи (de minimis) на територията на Република България, </w:t>
      </w:r>
      <w:r w:rsidRPr="00E60202">
        <w:rPr>
          <w:rFonts w:ascii="Times New Roman" w:hAnsi="Times New Roman" w:cs="Times New Roman"/>
          <w:b/>
          <w:sz w:val="24"/>
          <w:szCs w:val="24"/>
          <w:u w:val="single"/>
        </w:rPr>
        <w:t>не може да надхвърля левовата равностойност на 300 000 евро за период от три години</w:t>
      </w:r>
      <w:r w:rsidRPr="00E60202">
        <w:rPr>
          <w:rFonts w:ascii="Times New Roman" w:hAnsi="Times New Roman" w:cs="Times New Roman"/>
          <w:b/>
          <w:sz w:val="24"/>
          <w:szCs w:val="24"/>
        </w:rPr>
        <w:t xml:space="preserve">, предоставени на: </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b/>
          <w:sz w:val="24"/>
          <w:szCs w:val="24"/>
        </w:rPr>
      </w:pPr>
      <w:r w:rsidRPr="00E60202">
        <w:rPr>
          <w:rFonts w:ascii="Times New Roman" w:hAnsi="Times New Roman" w:cs="Times New Roman"/>
          <w:b/>
          <w:sz w:val="24"/>
          <w:szCs w:val="24"/>
        </w:rPr>
        <w:t>• предприятието-получател на помощта (конкретен бенефициент или партньор по проекта);</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b/>
          <w:sz w:val="24"/>
          <w:szCs w:val="24"/>
        </w:rPr>
      </w:pPr>
      <w:r w:rsidRPr="00E60202">
        <w:rPr>
          <w:rFonts w:ascii="Times New Roman" w:hAnsi="Times New Roman" w:cs="Times New Roman"/>
          <w:b/>
          <w:sz w:val="24"/>
          <w:szCs w:val="24"/>
        </w:rPr>
        <w:t>• предприятията, с които предприятието (конкретен бенефициент или партньор по проекта) образува „едно и също предприятие“ по смисъла на чл. 2, пар. 2 на Регламент (ЕС) № 2023/2831;</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b/>
          <w:sz w:val="24"/>
          <w:szCs w:val="24"/>
        </w:rPr>
      </w:pPr>
      <w:r w:rsidRPr="00E60202">
        <w:rPr>
          <w:rFonts w:ascii="Times New Roman" w:hAnsi="Times New Roman" w:cs="Times New Roman"/>
          <w:b/>
          <w:sz w:val="24"/>
          <w:szCs w:val="24"/>
        </w:rPr>
        <w:t>• всички предприятия, които са се влели, слели с или са придобити от някое от предприятията, образуващи „едно и също предприятие“ с предприятието -получател на помощта (КБ), съгласно чл. 3, пар. 8 на Регламент (ЕС) № 2023/2831;</w:t>
      </w: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b/>
          <w:sz w:val="24"/>
          <w:szCs w:val="24"/>
        </w:rPr>
      </w:pPr>
      <w:r w:rsidRPr="00E60202">
        <w:rPr>
          <w:rFonts w:ascii="Times New Roman" w:hAnsi="Times New Roman" w:cs="Times New Roman"/>
          <w:b/>
          <w:sz w:val="24"/>
          <w:szCs w:val="24"/>
        </w:rPr>
        <w:t>• предприятията, образуващи „едно и също предприятие“ с предприятието -</w:t>
      </w:r>
      <w:r w:rsidRPr="00E60202">
        <w:rPr>
          <w:rFonts w:ascii="Times New Roman" w:hAnsi="Times New Roman" w:cs="Times New Roman"/>
          <w:b/>
          <w:sz w:val="24"/>
          <w:szCs w:val="24"/>
        </w:rPr>
        <w:lastRenderedPageBreak/>
        <w:t>получател на помощта (КБ), които са се възползвали от помощ de minimis, получена преди разделяне или отделяне, съгласно чл. 3, пар. 9 от Регламент (ЕС) № 2023/2831.</w:t>
      </w:r>
    </w:p>
    <w:p w:rsidR="00580742" w:rsidRPr="00E60202" w:rsidRDefault="00580742">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 xml:space="preserve">Периодът от три години се оценява периодично спрямо датата на подаване на проектното предложение/датата на сключване на административния договор за  БФП – проверката за получени минимални помощи за тригодишния период се извършва </w:t>
      </w:r>
      <w:r w:rsidRPr="00E60202">
        <w:rPr>
          <w:rFonts w:ascii="Times New Roman" w:hAnsi="Times New Roman" w:cs="Times New Roman"/>
          <w:sz w:val="24"/>
          <w:szCs w:val="24"/>
          <w:u w:val="single"/>
        </w:rPr>
        <w:t>от дата до дата</w:t>
      </w:r>
      <w:r w:rsidRPr="00E60202">
        <w:rPr>
          <w:rFonts w:ascii="Times New Roman" w:hAnsi="Times New Roman" w:cs="Times New Roman"/>
          <w:sz w:val="24"/>
          <w:szCs w:val="24"/>
        </w:rPr>
        <w:t xml:space="preserve"> (на етапа на кандидатстване -три години към датата на подаване на проектното предложение/на етапа на сключване на административния договор за БФП - три години към датата на сключване на административния договор за БФП). За всяко ново предоставяне на помощ de minimis се взема предвид общият размер на помощта de minimis, предоставена през 3 години от момента на прилагане на законовото право за получаване на помощта de minimis, независимо от датата на плащането й.</w:t>
      </w:r>
    </w:p>
    <w:p w:rsidR="00580742" w:rsidRPr="00E60202" w:rsidRDefault="00580742">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p>
    <w:p w:rsidR="00580742" w:rsidRPr="00E60202" w:rsidRDefault="00A258E7">
      <w:pPr>
        <w:widowControl w:val="0"/>
        <w:shd w:val="clear" w:color="auto" w:fill="FFFFFF" w:themeFill="background1"/>
        <w:snapToGrid w:val="0"/>
        <w:spacing w:after="120" w:line="360" w:lineRule="auto"/>
        <w:ind w:left="4"/>
        <w:jc w:val="both"/>
        <w:rPr>
          <w:rFonts w:ascii="Times New Roman" w:hAnsi="Times New Roman" w:cs="Times New Roman"/>
          <w:bCs/>
          <w:sz w:val="24"/>
          <w:szCs w:val="24"/>
        </w:rPr>
      </w:pPr>
      <w:r w:rsidRPr="00E60202">
        <w:rPr>
          <w:rFonts w:ascii="Times New Roman" w:hAnsi="Times New Roman" w:cs="Times New Roman"/>
          <w:bCs/>
          <w:sz w:val="24"/>
          <w:szCs w:val="24"/>
        </w:rPr>
        <w:t>Само след като УО на ПРР се увери, че с отпускането на съответната минимална помощ по настоящата процедура няма да бъдат превишени праговете, установени по-горе, тогава помощта може да бъде предоставена на съответния субект (конкретен бенефициент или партньор по проекта). За целта при изчисляване на праговете се отчита размерът на всички получени минимални помощи от субекта (конкретен бенефициент или партньор по проекта)-„едно и също предприятие“, без значение на формата и източника въз основа на декларация по образец и проверка в Регистъра на минималните помощи.</w:t>
      </w:r>
    </w:p>
    <w:p w:rsidR="00580742" w:rsidRPr="00E60202" w:rsidRDefault="00A258E7">
      <w:pPr>
        <w:widowControl w:val="0"/>
        <w:shd w:val="clear" w:color="auto" w:fill="FFFFFF" w:themeFill="background1"/>
        <w:snapToGrid w:val="0"/>
        <w:spacing w:after="120" w:line="360" w:lineRule="auto"/>
        <w:jc w:val="both"/>
        <w:rPr>
          <w:rFonts w:ascii="Times New Roman" w:hAnsi="Times New Roman" w:cs="Times New Roman"/>
          <w:b/>
          <w:bCs/>
          <w:iCs/>
          <w:sz w:val="24"/>
          <w:szCs w:val="24"/>
        </w:rPr>
      </w:pPr>
      <w:r w:rsidRPr="00E60202">
        <w:rPr>
          <w:rFonts w:ascii="Times New Roman" w:hAnsi="Times New Roman" w:cs="Times New Roman"/>
          <w:b/>
          <w:bCs/>
          <w:iCs/>
          <w:sz w:val="24"/>
          <w:szCs w:val="24"/>
        </w:rPr>
        <w:t xml:space="preserve">На етапа на кандидатстване, когато кандидата и/или партньора е заявил, че ще изпълнява проект/дейност при условията на режим „минимална помощ“ (de minimis) съгласно Регламент (ЕС) № 2023/2831 на Комисията, следва да представи Декларацията за получени минимални помощи, попълнена по образец (приложение 3.2.). Данните за получените минимални помощи се попълват от кандидата и партньора (ако в проекта е включен партньор) за период от три години до датата на подаване на проектното предложение, като отговорност за декларираните данни носи кандидата и партньора (ако е приложимо). Допълнително УО на ПРР извършва проверка в Информационната система "Регистър на минималните помощи". Декларацията се представя подписана от кандидата и партньора (ако в </w:t>
      </w:r>
      <w:r w:rsidRPr="00E60202">
        <w:rPr>
          <w:rFonts w:ascii="Times New Roman" w:hAnsi="Times New Roman" w:cs="Times New Roman"/>
          <w:b/>
          <w:bCs/>
          <w:iCs/>
          <w:sz w:val="24"/>
          <w:szCs w:val="24"/>
        </w:rPr>
        <w:lastRenderedPageBreak/>
        <w:t xml:space="preserve">проекта е включен партньор)  и се прилага към предложението по процедурата. </w:t>
      </w:r>
    </w:p>
    <w:p w:rsidR="00580742" w:rsidRPr="00E60202" w:rsidRDefault="00580742">
      <w:pPr>
        <w:widowControl w:val="0"/>
        <w:shd w:val="clear" w:color="auto" w:fill="FFFFFF" w:themeFill="background1"/>
        <w:snapToGrid w:val="0"/>
        <w:spacing w:after="120" w:line="360" w:lineRule="auto"/>
        <w:jc w:val="both"/>
        <w:rPr>
          <w:rFonts w:ascii="Times New Roman" w:hAnsi="Times New Roman" w:cs="Times New Roman"/>
          <w:sz w:val="24"/>
          <w:szCs w:val="24"/>
          <w:highlight w:val="yellow"/>
        </w:rPr>
      </w:pPr>
    </w:p>
    <w:p w:rsidR="00580742" w:rsidRPr="00E60202" w:rsidRDefault="00A258E7">
      <w:pPr>
        <w:widowControl w:val="0"/>
        <w:shd w:val="clear" w:color="auto" w:fill="FFFFFF" w:themeFill="background1"/>
        <w:snapToGrid w:val="0"/>
        <w:spacing w:after="120" w:line="360" w:lineRule="auto"/>
        <w:jc w:val="both"/>
        <w:rPr>
          <w:rFonts w:ascii="Times New Roman" w:hAnsi="Times New Roman" w:cs="Times New Roman"/>
          <w:sz w:val="24"/>
          <w:szCs w:val="24"/>
        </w:rPr>
      </w:pPr>
      <w:r w:rsidRPr="00E60202">
        <w:rPr>
          <w:rFonts w:ascii="Times New Roman" w:hAnsi="Times New Roman" w:cs="Times New Roman"/>
          <w:sz w:val="24"/>
          <w:szCs w:val="24"/>
        </w:rPr>
        <w:t>Помощта de minimis се смята за отпусната в момента, когато законовото право да получи помощта е предоставено на субекта т.е. от момента на сключване на административния договора за БФП за изпълнение на дейностите по проекта, независимо от датата на изплащане на помощта de minimis.</w:t>
      </w:r>
    </w:p>
    <w:p w:rsidR="00580742" w:rsidRPr="00E60202" w:rsidRDefault="00580742">
      <w:pPr>
        <w:widowControl w:val="0"/>
        <w:shd w:val="clear" w:color="auto" w:fill="FFFFFF" w:themeFill="background1"/>
        <w:snapToGrid w:val="0"/>
        <w:spacing w:after="120" w:line="360" w:lineRule="auto"/>
        <w:jc w:val="both"/>
        <w:rPr>
          <w:rFonts w:ascii="Times New Roman" w:hAnsi="Times New Roman" w:cs="Times New Roman"/>
          <w:sz w:val="24"/>
          <w:szCs w:val="24"/>
        </w:rPr>
      </w:pPr>
    </w:p>
    <w:p w:rsidR="00580742" w:rsidRPr="00E60202" w:rsidRDefault="00A258E7">
      <w:pPr>
        <w:widowControl w:val="0"/>
        <w:shd w:val="clear" w:color="auto" w:fill="FFFFFF" w:themeFill="background1"/>
        <w:snapToGrid w:val="0"/>
        <w:spacing w:after="120" w:line="360" w:lineRule="auto"/>
        <w:jc w:val="both"/>
        <w:rPr>
          <w:rFonts w:ascii="Times New Roman" w:hAnsi="Times New Roman" w:cs="Times New Roman"/>
          <w:sz w:val="24"/>
          <w:szCs w:val="24"/>
        </w:rPr>
      </w:pPr>
      <w:r w:rsidRPr="00E60202">
        <w:rPr>
          <w:rFonts w:ascii="Times New Roman" w:hAnsi="Times New Roman" w:cs="Times New Roman"/>
          <w:sz w:val="24"/>
          <w:szCs w:val="24"/>
        </w:rPr>
        <w:t>Тавана, посочен в чл. 3, параграф 2 на Регламент (ЕС) № 2023/2831, се прилагат независимо от формата на помощта de minimis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За целите на таваните, посочени в член 3, параграф 2 на Регламент (ЕС) № 2023/2831, помощта се изразява като парични безвъзмездни средства. Всички използвани стойности са в брутно изражение, т.е. преди облагане с данъци или други такси. Когато с отпускането на нова помощ de minimis може да бъде надвишен съответният таван, никоя част от тази нова помощ не може да попада в приложното поле на Регламент (ЕС) № 2023/2831.</w:t>
      </w:r>
    </w:p>
    <w:p w:rsidR="00580742" w:rsidRPr="00E60202" w:rsidRDefault="00580742">
      <w:pPr>
        <w:widowControl w:val="0"/>
        <w:shd w:val="clear" w:color="auto" w:fill="FFFFFF" w:themeFill="background1"/>
        <w:snapToGrid w:val="0"/>
        <w:spacing w:after="120" w:line="360" w:lineRule="auto"/>
        <w:jc w:val="both"/>
        <w:rPr>
          <w:rFonts w:ascii="Times New Roman" w:hAnsi="Times New Roman" w:cs="Times New Roman"/>
          <w:sz w:val="24"/>
          <w:szCs w:val="24"/>
        </w:rPr>
      </w:pPr>
    </w:p>
    <w:p w:rsidR="00580742" w:rsidRPr="00E60202" w:rsidRDefault="00A258E7">
      <w:pPr>
        <w:widowControl w:val="0"/>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В случаите, когато за субекта (кандидат или партньора) се установи, че:</w:t>
      </w:r>
    </w:p>
    <w:p w:rsidR="00580742" w:rsidRPr="00E60202" w:rsidRDefault="00A258E7">
      <w:pPr>
        <w:pStyle w:val="ListParagraph"/>
        <w:widowControl w:val="0"/>
        <w:numPr>
          <w:ilvl w:val="0"/>
          <w:numId w:val="3"/>
        </w:numPr>
        <w:shd w:val="clear" w:color="auto" w:fill="FFFFFF" w:themeFill="background1"/>
        <w:snapToGrid w:val="0"/>
        <w:spacing w:after="120" w:line="360" w:lineRule="auto"/>
        <w:jc w:val="both"/>
      </w:pPr>
      <w:r w:rsidRPr="00E60202">
        <w:t>е получил минимална помощ в размер, която не позволява да получи помощ за проект/дейност по процедура BG16FFPR003-4.004 „Диверсификация и адаптиране на малки и средни предприятия към икономическия преход“</w:t>
      </w:r>
      <w:r w:rsidRPr="00E60202">
        <w:rPr>
          <w:b/>
          <w:i/>
          <w:iCs/>
        </w:rPr>
        <w:t xml:space="preserve"> </w:t>
      </w:r>
      <w:r w:rsidRPr="00E60202">
        <w:t xml:space="preserve">и се нахвърлят установените в Регламент (ЕС) № 2023/2831 прагове, то съответният субект не може да получи помощта. </w:t>
      </w:r>
    </w:p>
    <w:p w:rsidR="00580742" w:rsidRPr="00E60202" w:rsidRDefault="00A258E7">
      <w:pPr>
        <w:pStyle w:val="ListParagraph"/>
        <w:widowControl w:val="0"/>
        <w:numPr>
          <w:ilvl w:val="0"/>
          <w:numId w:val="3"/>
        </w:numPr>
        <w:shd w:val="clear" w:color="auto" w:fill="FFFFFF" w:themeFill="background1"/>
        <w:snapToGrid w:val="0"/>
        <w:spacing w:after="120" w:line="360" w:lineRule="auto"/>
        <w:jc w:val="both"/>
      </w:pPr>
      <w:r w:rsidRPr="00E60202">
        <w:t>е получил минимална помощ в размер, която позволява да получи и помощ за проект/дейност по процедура BG16FFPR003-4.004 „Диверсификация и адаптиране на малки и средни предприятия към икономическия преход“</w:t>
      </w:r>
      <w:r w:rsidRPr="00E60202">
        <w:rPr>
          <w:b/>
          <w:i/>
          <w:iCs/>
        </w:rPr>
        <w:t xml:space="preserve"> </w:t>
      </w:r>
      <w:r w:rsidRPr="00E60202">
        <w:t xml:space="preserve"> до установените прагове. В този случай, като помощ по проекта/дейността, може да се предоставят средства в такъв размер, който сумиран с всички други минимални помощи, получени от субекта за 3 години от момента на прилагане на законовото право за получаване на помощта de minimis, независимо от датата на плащането й, е до стойностите на </w:t>
      </w:r>
      <w:r w:rsidRPr="00E60202">
        <w:lastRenderedPageBreak/>
        <w:t xml:space="preserve">установените в Регламент (ЕС) № 2023/2831 прагове. За остатъка до пълния размер на средствата по проекта/дейността, надвишаващ установените в регламента прагове, субектът (кандидат или партньора) следва да заплати за своя сметка превишението над праговете по регламента. </w:t>
      </w:r>
    </w:p>
    <w:p w:rsidR="00580742" w:rsidRPr="00E60202" w:rsidRDefault="00580742">
      <w:pPr>
        <w:shd w:val="clear" w:color="auto" w:fill="FFFFFF" w:themeFill="background1"/>
        <w:snapToGrid w:val="0"/>
        <w:spacing w:before="120" w:after="0" w:line="360" w:lineRule="auto"/>
        <w:ind w:left="4"/>
        <w:jc w:val="both"/>
        <w:rPr>
          <w:rFonts w:ascii="Times New Roman" w:hAnsi="Times New Roman" w:cs="Times New Roman"/>
          <w:sz w:val="24"/>
          <w:szCs w:val="24"/>
        </w:rPr>
      </w:pPr>
    </w:p>
    <w:p w:rsidR="00580742" w:rsidRPr="00E60202" w:rsidRDefault="00A258E7">
      <w:pPr>
        <w:shd w:val="clear" w:color="auto" w:fill="FFFFFF" w:themeFill="background1"/>
        <w:snapToGrid w:val="0"/>
        <w:spacing w:before="120" w:after="0" w:line="360" w:lineRule="auto"/>
        <w:ind w:left="4"/>
        <w:jc w:val="both"/>
        <w:rPr>
          <w:rFonts w:ascii="Times New Roman" w:hAnsi="Times New Roman" w:cs="Times New Roman"/>
          <w:sz w:val="24"/>
          <w:szCs w:val="24"/>
        </w:rPr>
      </w:pPr>
      <w:r w:rsidRPr="00E60202">
        <w:rPr>
          <w:rFonts w:ascii="Times New Roman" w:hAnsi="Times New Roman" w:cs="Times New Roman"/>
          <w:sz w:val="24"/>
          <w:szCs w:val="24"/>
        </w:rPr>
        <w:t>Ръководителят на УО ще издава мотивирано решение, с което отказва предоставянето на безвъзмездно финансиране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p>
    <w:p w:rsidR="00580742" w:rsidRPr="00E60202" w:rsidRDefault="00A258E7">
      <w:pPr>
        <w:shd w:val="clear" w:color="auto" w:fill="FFFFFF" w:themeFill="background1"/>
        <w:snapToGrid w:val="0"/>
        <w:spacing w:before="120" w:after="0" w:line="360" w:lineRule="auto"/>
        <w:ind w:left="4"/>
        <w:jc w:val="both"/>
        <w:rPr>
          <w:rFonts w:ascii="Times New Roman" w:hAnsi="Times New Roman" w:cs="Times New Roman"/>
          <w:sz w:val="24"/>
          <w:szCs w:val="24"/>
        </w:rPr>
      </w:pPr>
      <w:r w:rsidRPr="00E60202">
        <w:rPr>
          <w:rFonts w:ascii="Times New Roman" w:hAnsi="Times New Roman" w:cs="Times New Roman"/>
          <w:sz w:val="24"/>
          <w:szCs w:val="24"/>
        </w:rPr>
        <w:t>Съгласно чл. 38 от Закона за държавните помощи (ЗДП)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ЗДП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rsidR="00580742" w:rsidRPr="00E60202" w:rsidRDefault="00A258E7">
      <w:pPr>
        <w:shd w:val="clear" w:color="auto" w:fill="FFFFFF" w:themeFill="background1"/>
        <w:snapToGrid w:val="0"/>
        <w:spacing w:before="120" w:after="0" w:line="360" w:lineRule="auto"/>
        <w:ind w:left="4"/>
        <w:jc w:val="both"/>
        <w:rPr>
          <w:rFonts w:ascii="Times New Roman" w:hAnsi="Times New Roman" w:cs="Times New Roman"/>
          <w:sz w:val="24"/>
          <w:szCs w:val="24"/>
        </w:rPr>
      </w:pPr>
      <w:r w:rsidRPr="00E60202">
        <w:rPr>
          <w:rFonts w:ascii="Times New Roman" w:hAnsi="Times New Roman" w:cs="Times New Roman"/>
          <w:sz w:val="24"/>
          <w:szCs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 момента на изпълнение на Административния договор за предоставяне на БФП.</w:t>
      </w:r>
    </w:p>
    <w:p w:rsidR="00580742" w:rsidRPr="00E60202" w:rsidRDefault="00580742">
      <w:pPr>
        <w:shd w:val="clear" w:color="auto" w:fill="FFFFFF" w:themeFill="background1"/>
        <w:snapToGrid w:val="0"/>
        <w:spacing w:before="120" w:after="0" w:line="360" w:lineRule="auto"/>
        <w:ind w:left="4"/>
        <w:jc w:val="both"/>
        <w:rPr>
          <w:rFonts w:ascii="Times New Roman" w:hAnsi="Times New Roman" w:cs="Times New Roman"/>
          <w:sz w:val="24"/>
          <w:szCs w:val="24"/>
        </w:rPr>
      </w:pPr>
    </w:p>
    <w:p w:rsidR="00580742" w:rsidRPr="00E60202" w:rsidRDefault="00580742">
      <w:pPr>
        <w:shd w:val="clear" w:color="auto" w:fill="FFFFFF" w:themeFill="background1"/>
        <w:snapToGrid w:val="0"/>
        <w:spacing w:before="120" w:after="0" w:line="360" w:lineRule="auto"/>
        <w:ind w:left="4"/>
        <w:jc w:val="both"/>
        <w:rPr>
          <w:rFonts w:ascii="Times New Roman" w:hAnsi="Times New Roman" w:cs="Times New Roman"/>
          <w:sz w:val="24"/>
          <w:szCs w:val="24"/>
        </w:rPr>
      </w:pPr>
    </w:p>
    <w:p w:rsidR="00580742" w:rsidRPr="00E60202" w:rsidRDefault="00A258E7">
      <w:pPr>
        <w:widowControl w:val="0"/>
        <w:numPr>
          <w:ilvl w:val="1"/>
          <w:numId w:val="1"/>
        </w:numPr>
        <w:shd w:val="clear" w:color="auto" w:fill="FFFFFF" w:themeFill="background1"/>
        <w:snapToGrid w:val="0"/>
        <w:spacing w:after="120" w:line="360" w:lineRule="auto"/>
        <w:jc w:val="both"/>
        <w:rPr>
          <w:rFonts w:ascii="Times New Roman" w:hAnsi="Times New Roman" w:cs="Times New Roman"/>
          <w:b/>
          <w:sz w:val="24"/>
          <w:szCs w:val="24"/>
        </w:rPr>
      </w:pPr>
      <w:r w:rsidRPr="00E60202">
        <w:rPr>
          <w:rFonts w:ascii="Times New Roman" w:hAnsi="Times New Roman" w:cs="Times New Roman"/>
          <w:b/>
          <w:sz w:val="24"/>
          <w:szCs w:val="24"/>
        </w:rPr>
        <w:t xml:space="preserve"> Натрупване на помощта „de minimis“</w:t>
      </w:r>
    </w:p>
    <w:p w:rsidR="00580742" w:rsidRPr="00E60202" w:rsidRDefault="00A258E7">
      <w:pPr>
        <w:shd w:val="clear" w:color="auto" w:fill="FFFFFF" w:themeFill="background1"/>
        <w:snapToGrid w:val="0"/>
        <w:spacing w:before="120" w:after="0" w:line="360" w:lineRule="auto"/>
        <w:ind w:left="4"/>
        <w:jc w:val="both"/>
        <w:rPr>
          <w:rFonts w:ascii="Times New Roman" w:hAnsi="Times New Roman" w:cs="Times New Roman"/>
          <w:sz w:val="24"/>
          <w:szCs w:val="24"/>
        </w:rPr>
      </w:pPr>
      <w:r w:rsidRPr="00E60202">
        <w:rPr>
          <w:rFonts w:ascii="Times New Roman" w:hAnsi="Times New Roman" w:cs="Times New Roman"/>
          <w:sz w:val="24"/>
          <w:szCs w:val="24"/>
        </w:rPr>
        <w:t>Помощта de minimis, предоставена съгласно настоящата схема, може да се натрупва с:</w:t>
      </w:r>
    </w:p>
    <w:p w:rsidR="00851533" w:rsidRPr="00E60202" w:rsidRDefault="00851533" w:rsidP="00851533">
      <w:pPr>
        <w:pStyle w:val="ListParagraph"/>
        <w:numPr>
          <w:ilvl w:val="0"/>
          <w:numId w:val="4"/>
        </w:numPr>
        <w:shd w:val="clear" w:color="auto" w:fill="FFFFFF" w:themeFill="background1"/>
        <w:snapToGrid w:val="0"/>
        <w:spacing w:before="120" w:line="360" w:lineRule="auto"/>
        <w:jc w:val="both"/>
      </w:pPr>
      <w:r w:rsidRPr="00E60202">
        <w:t>помощ de minimis, предоставена съгласно Регламент (ЕС) 2023/2831 на Комисията</w:t>
      </w:r>
      <w:r w:rsidRPr="00E60202">
        <w:rPr>
          <w:b/>
        </w:rPr>
        <w:t xml:space="preserve"> </w:t>
      </w:r>
      <w:r w:rsidRPr="00E60202">
        <w:t xml:space="preserve">ОТ 13 ДЕКЕМВРИ 2023 Г. ОТНОСНО ПРИЛАГАНЕТО НА </w:t>
      </w:r>
      <w:r w:rsidRPr="00E60202">
        <w:lastRenderedPageBreak/>
        <w:t>ЧЛЕНОВЕ 107 И 108 ОТ ДОГОВОРА ЗА ФУНКЦИОНИРАНЕТО НА ЕВРОПЕЙСКИЯ СЪЮЗ КЪМ ПОМОЩТА DE MINIMIS</w:t>
      </w:r>
      <w:r w:rsidRPr="00E60202">
        <w:rPr>
          <w:rStyle w:val="FootnoteReference"/>
        </w:rPr>
        <w:footnoteReference w:id="2"/>
      </w:r>
    </w:p>
    <w:p w:rsidR="00580742" w:rsidRPr="00E60202" w:rsidRDefault="00A258E7">
      <w:pPr>
        <w:pStyle w:val="ListParagraph"/>
        <w:numPr>
          <w:ilvl w:val="0"/>
          <w:numId w:val="4"/>
        </w:numPr>
        <w:shd w:val="clear" w:color="auto" w:fill="FFFFFF" w:themeFill="background1"/>
        <w:snapToGrid w:val="0"/>
        <w:spacing w:before="120" w:line="360" w:lineRule="auto"/>
        <w:jc w:val="both"/>
      </w:pPr>
      <w:r w:rsidRPr="00E60202">
        <w:t>помощ de minimis, предоставена съгласно Регламент (ЕС) № 1407/2013 на Комисията</w:t>
      </w:r>
      <w:r w:rsidRPr="00E60202">
        <w:rPr>
          <w:rStyle w:val="FootnoteReference"/>
        </w:rPr>
        <w:footnoteReference w:id="3"/>
      </w:r>
      <w:r w:rsidRPr="00E60202">
        <w:rPr>
          <w:vertAlign w:val="superscript"/>
        </w:rPr>
        <w:t xml:space="preserve"> </w:t>
      </w:r>
      <w:r w:rsidRPr="00E60202">
        <w:t>,</w:t>
      </w:r>
    </w:p>
    <w:p w:rsidR="00851533" w:rsidRPr="00E60202" w:rsidRDefault="00851533" w:rsidP="00851533">
      <w:pPr>
        <w:pStyle w:val="ListParagraph"/>
        <w:numPr>
          <w:ilvl w:val="0"/>
          <w:numId w:val="4"/>
        </w:numPr>
        <w:shd w:val="clear" w:color="auto" w:fill="FFFFFF" w:themeFill="background1"/>
        <w:snapToGrid w:val="0"/>
        <w:spacing w:before="120" w:line="360" w:lineRule="auto"/>
        <w:jc w:val="both"/>
      </w:pPr>
      <w:r w:rsidRPr="00E60202">
        <w:t xml:space="preserve">помощ de minimis, предоставена съгласно Регламент (ЕС) 2023/2832 на Комисията от 13 декември 2023 г. относно прилагането на членове 107 и 108 от Договора за функционирането на Европейския съюз към </w:t>
      </w:r>
      <w:proofErr w:type="spellStart"/>
      <w:r w:rsidRPr="00E60202">
        <w:t>помоща</w:t>
      </w:r>
      <w:proofErr w:type="spellEnd"/>
      <w:r w:rsidRPr="00E60202">
        <w:t xml:space="preserve"> de minimis за предприятия, предоставящи услуги от общ икономически интерес (ОВ L, 2023/2832, 15.12.2023 г., ELI: </w:t>
      </w:r>
      <w:hyperlink r:id="rId9">
        <w:r w:rsidRPr="00E60202">
          <w:rPr>
            <w:rStyle w:val="Hyperlink"/>
            <w:color w:val="auto"/>
          </w:rPr>
          <w:t>http://data.europa.eu/eli/reg/2023/2832/oj</w:t>
        </w:r>
      </w:hyperlink>
      <w:r w:rsidRPr="00E60202">
        <w:t xml:space="preserve">), </w:t>
      </w:r>
    </w:p>
    <w:p w:rsidR="00580742" w:rsidRPr="00E60202" w:rsidRDefault="00A258E7">
      <w:pPr>
        <w:pStyle w:val="ListParagraph"/>
        <w:numPr>
          <w:ilvl w:val="0"/>
          <w:numId w:val="4"/>
        </w:numPr>
        <w:shd w:val="clear" w:color="auto" w:fill="FFFFFF" w:themeFill="background1"/>
        <w:snapToGrid w:val="0"/>
        <w:spacing w:before="120" w:line="360" w:lineRule="auto"/>
        <w:jc w:val="both"/>
      </w:pPr>
      <w:r w:rsidRPr="00E60202">
        <w:t>помощ de minimis, предоставяна съгласно Регламент (ЕС)№1408/2013 на Комисията</w:t>
      </w:r>
      <w:r w:rsidRPr="00E60202">
        <w:rPr>
          <w:rStyle w:val="FootnoteReference"/>
          <w:rFonts w:eastAsia="Calibri"/>
        </w:rPr>
        <w:footnoteReference w:id="4"/>
      </w:r>
      <w:r w:rsidRPr="00E60202">
        <w:t xml:space="preserve"> и Регламент (ЕС) №717/2014 на Комисията, до съответния таван, определен в член 3, параграф 2 от Регламент (ЕС) № 2023/2831.</w:t>
      </w:r>
    </w:p>
    <w:p w:rsidR="00580742" w:rsidRPr="00E60202" w:rsidRDefault="00851533" w:rsidP="00E60202">
      <w:pPr>
        <w:pStyle w:val="ListParagraph"/>
        <w:numPr>
          <w:ilvl w:val="0"/>
          <w:numId w:val="4"/>
        </w:numPr>
        <w:shd w:val="clear" w:color="auto" w:fill="FFFFFF" w:themeFill="background1"/>
        <w:snapToGrid w:val="0"/>
        <w:spacing w:before="120" w:line="360" w:lineRule="auto"/>
        <w:jc w:val="both"/>
      </w:pPr>
      <w:r w:rsidRPr="00E60202">
        <w:t xml:space="preserve">помощ de minimis, предоставена съгласно </w:t>
      </w:r>
      <w:r w:rsidR="00A258E7" w:rsidRPr="00E60202">
        <w:t>Регламент (ЕС) № 360/2012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w:t>
      </w:r>
      <w:r w:rsidR="00A258E7" w:rsidRPr="00E60202">
        <w:footnoteReference w:id="5"/>
      </w:r>
    </w:p>
    <w:p w:rsidR="00580742" w:rsidRPr="00E60202" w:rsidRDefault="00851533" w:rsidP="00851533">
      <w:pPr>
        <w:pStyle w:val="ListParagraph"/>
        <w:numPr>
          <w:ilvl w:val="0"/>
          <w:numId w:val="4"/>
        </w:numPr>
        <w:shd w:val="clear" w:color="auto" w:fill="FFFFFF" w:themeFill="background1"/>
        <w:snapToGrid w:val="0"/>
        <w:spacing w:before="120" w:line="360" w:lineRule="auto"/>
        <w:jc w:val="both"/>
      </w:pPr>
      <w:r w:rsidRPr="00E60202">
        <w:t xml:space="preserve">помощ de minimis, предоставена съгласно </w:t>
      </w:r>
      <w:r w:rsidR="00A258E7" w:rsidRPr="00E60202">
        <w:t>Регламент (ЕС) № 717/2014</w:t>
      </w:r>
      <w:r w:rsidR="00A258E7" w:rsidRPr="00E60202">
        <w:rPr>
          <w:rStyle w:val="FootnoteReference"/>
        </w:rPr>
        <w:footnoteReference w:id="6"/>
      </w:r>
      <w:r w:rsidR="00A258E7" w:rsidRPr="00E60202">
        <w:t xml:space="preserve">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28.6.2014 г., стр. 45). </w:t>
      </w:r>
    </w:p>
    <w:p w:rsidR="00580742" w:rsidRPr="00E60202" w:rsidRDefault="00A258E7">
      <w:pPr>
        <w:pStyle w:val="ListParagraph"/>
        <w:numPr>
          <w:ilvl w:val="0"/>
          <w:numId w:val="4"/>
        </w:numPr>
        <w:shd w:val="clear" w:color="auto" w:fill="FFFFFF" w:themeFill="background1"/>
        <w:snapToGrid w:val="0"/>
        <w:spacing w:before="120" w:line="360" w:lineRule="auto"/>
        <w:jc w:val="both"/>
      </w:pPr>
      <w:r w:rsidRPr="00E60202">
        <w:t xml:space="preserve">Помощта de minimis, предоставена съгласно настоящата схема, не се натрупва с държавна помощ по отношение на същите допустими разходи или с държавна </w:t>
      </w:r>
      <w:r w:rsidRPr="00E60202">
        <w:lastRenderedPageBreak/>
        <w:t>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de minimis,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rsidR="00580742" w:rsidRPr="00E60202" w:rsidRDefault="00A258E7" w:rsidP="00E60202">
      <w:pPr>
        <w:shd w:val="clear" w:color="auto" w:fill="FFFFFF" w:themeFill="background1"/>
        <w:snapToGrid w:val="0"/>
        <w:spacing w:after="120" w:line="360" w:lineRule="auto"/>
        <w:ind w:left="6"/>
        <w:jc w:val="both"/>
      </w:pPr>
      <w:r w:rsidRPr="00E60202">
        <w:rPr>
          <w:rFonts w:ascii="Times New Roman" w:hAnsi="Times New Roman" w:cs="Times New Roman"/>
          <w:sz w:val="24"/>
          <w:szCs w:val="24"/>
        </w:rPr>
        <w:t>Съгласно чл. 6, пар. 4 от Регламент (ЕС) № 2023/2831, УО на ПРР има право да предостави нова помощ de minimis по процедурата, само след като преди това е проверил, че са спазени всички условия на Регламента и с новата помощ общият размер на помощта de minimis, отпусната на съответното едно и също предприятие, няма да превиши тавана от 300 000 евро, определен в член 3, параграф 2 от Регламента. В тази връзка в Приложение 3.2.„Декларация за получени минимални помощи“ кандидата (при заявено финансиране в минимална помощ) и/или партньора (ако в проектното предложение е включен партньора, които е заявил финансиране в минимална помощ) декларират получени минимални помощи, съгласно посочените по-горе Регламенти за натрупване и съгласно указанията към Приложение 3.2. „Декларация за получени минимални помощи“.</w:t>
      </w:r>
    </w:p>
    <w:p w:rsidR="00580742" w:rsidRPr="00E60202" w:rsidRDefault="00580742">
      <w:pPr>
        <w:pStyle w:val="ListParagraph"/>
        <w:shd w:val="clear" w:color="auto" w:fill="FFFFFF" w:themeFill="background1"/>
        <w:snapToGrid w:val="0"/>
        <w:spacing w:before="120" w:line="360" w:lineRule="auto"/>
        <w:jc w:val="both"/>
      </w:pPr>
    </w:p>
    <w:p w:rsidR="00580742" w:rsidRPr="00E60202" w:rsidRDefault="00A258E7">
      <w:pPr>
        <w:widowControl w:val="0"/>
        <w:numPr>
          <w:ilvl w:val="1"/>
          <w:numId w:val="1"/>
        </w:numPr>
        <w:shd w:val="clear" w:color="auto" w:fill="FFFFFF" w:themeFill="background1"/>
        <w:snapToGrid w:val="0"/>
        <w:spacing w:after="120" w:line="360" w:lineRule="auto"/>
        <w:jc w:val="both"/>
        <w:rPr>
          <w:rFonts w:ascii="Times New Roman" w:hAnsi="Times New Roman" w:cs="Times New Roman"/>
          <w:b/>
          <w:sz w:val="24"/>
          <w:szCs w:val="24"/>
        </w:rPr>
      </w:pPr>
      <w:r w:rsidRPr="00E60202">
        <w:rPr>
          <w:rFonts w:ascii="Times New Roman" w:hAnsi="Times New Roman" w:cs="Times New Roman"/>
          <w:b/>
          <w:sz w:val="24"/>
          <w:szCs w:val="24"/>
        </w:rPr>
        <w:t xml:space="preserve"> Допустими разходи за финансиране</w:t>
      </w:r>
    </w:p>
    <w:p w:rsidR="00580742" w:rsidRPr="00E60202" w:rsidRDefault="00A258E7">
      <w:pPr>
        <w:shd w:val="clear" w:color="auto" w:fill="FFFFFF" w:themeFill="background1"/>
        <w:snapToGrid w:val="0"/>
        <w:spacing w:after="120" w:line="360" w:lineRule="auto"/>
        <w:ind w:left="6"/>
        <w:jc w:val="both"/>
        <w:rPr>
          <w:rFonts w:ascii="Times New Roman" w:hAnsi="Times New Roman" w:cs="Times New Roman"/>
          <w:sz w:val="24"/>
          <w:szCs w:val="24"/>
        </w:rPr>
      </w:pPr>
      <w:r w:rsidRPr="00E60202">
        <w:rPr>
          <w:rFonts w:ascii="Times New Roman" w:hAnsi="Times New Roman" w:cs="Times New Roman"/>
          <w:sz w:val="24"/>
          <w:szCs w:val="24"/>
        </w:rPr>
        <w:t xml:space="preserve">Средствата, под формата на минимална помощ може да се предоставя за покриване на допустими разходи, определени в точка </w:t>
      </w:r>
      <w:bookmarkStart w:id="0" w:name="_Toc122094233"/>
      <w:bookmarkStart w:id="1" w:name="_Toc442298723"/>
      <w:r w:rsidRPr="00E60202">
        <w:rPr>
          <w:rFonts w:ascii="Times New Roman" w:hAnsi="Times New Roman" w:cs="Times New Roman"/>
          <w:b/>
          <w:bCs/>
          <w:sz w:val="24"/>
          <w:szCs w:val="24"/>
        </w:rPr>
        <w:t>14.2. „Допустими разход</w:t>
      </w:r>
      <w:bookmarkEnd w:id="0"/>
      <w:bookmarkEnd w:id="1"/>
      <w:r w:rsidRPr="00E60202">
        <w:rPr>
          <w:rFonts w:ascii="Times New Roman" w:hAnsi="Times New Roman" w:cs="Times New Roman"/>
          <w:b/>
          <w:bCs/>
          <w:sz w:val="24"/>
          <w:szCs w:val="24"/>
        </w:rPr>
        <w:t xml:space="preserve">и“ </w:t>
      </w:r>
      <w:r w:rsidRPr="00E60202">
        <w:rPr>
          <w:rFonts w:ascii="Times New Roman" w:hAnsi="Times New Roman" w:cs="Times New Roman"/>
          <w:sz w:val="24"/>
          <w:szCs w:val="24"/>
        </w:rPr>
        <w:t>на</w:t>
      </w:r>
      <w:r w:rsidRPr="00E60202">
        <w:rPr>
          <w:rFonts w:ascii="Times New Roman" w:hAnsi="Times New Roman" w:cs="Times New Roman"/>
          <w:b/>
          <w:bCs/>
          <w:sz w:val="24"/>
          <w:szCs w:val="24"/>
        </w:rPr>
        <w:t xml:space="preserve"> </w:t>
      </w:r>
      <w:r w:rsidRPr="00E60202">
        <w:rPr>
          <w:rFonts w:ascii="Times New Roman" w:hAnsi="Times New Roman" w:cs="Times New Roman"/>
          <w:sz w:val="24"/>
          <w:szCs w:val="24"/>
        </w:rPr>
        <w:t>Условията за кандидатстване по процедурата.</w:t>
      </w:r>
    </w:p>
    <w:p w:rsidR="00580742" w:rsidRPr="00E60202" w:rsidRDefault="00A258E7">
      <w:pPr>
        <w:widowControl w:val="0"/>
        <w:numPr>
          <w:ilvl w:val="0"/>
          <w:numId w:val="1"/>
        </w:numPr>
        <w:shd w:val="clear" w:color="auto" w:fill="FFFFFF" w:themeFill="background1"/>
        <w:snapToGrid w:val="0"/>
        <w:spacing w:after="120" w:line="360" w:lineRule="auto"/>
        <w:rPr>
          <w:rFonts w:ascii="Times New Roman" w:hAnsi="Times New Roman" w:cs="Times New Roman"/>
          <w:b/>
          <w:bCs/>
          <w:sz w:val="24"/>
          <w:szCs w:val="24"/>
        </w:rPr>
      </w:pPr>
      <w:r w:rsidRPr="00E60202">
        <w:rPr>
          <w:rFonts w:ascii="Times New Roman" w:hAnsi="Times New Roman" w:cs="Times New Roman"/>
          <w:b/>
          <w:bCs/>
          <w:sz w:val="24"/>
          <w:szCs w:val="24"/>
        </w:rPr>
        <w:t xml:space="preserve"> УВЕДОМЯВАНЕ И КОНТРОЛ </w:t>
      </w:r>
    </w:p>
    <w:p w:rsidR="00580742" w:rsidRPr="00E60202" w:rsidRDefault="00A258E7">
      <w:pPr>
        <w:shd w:val="clear" w:color="auto" w:fill="FFFFFF" w:themeFill="background1"/>
        <w:snapToGrid w:val="0"/>
        <w:spacing w:after="120" w:line="360" w:lineRule="auto"/>
        <w:jc w:val="both"/>
        <w:rPr>
          <w:rFonts w:ascii="Times New Roman" w:hAnsi="Times New Roman" w:cs="Times New Roman"/>
          <w:bCs/>
          <w:sz w:val="24"/>
          <w:szCs w:val="24"/>
        </w:rPr>
      </w:pPr>
      <w:r w:rsidRPr="00E60202">
        <w:rPr>
          <w:rFonts w:ascii="Times New Roman" w:hAnsi="Times New Roman" w:cs="Times New Roman"/>
          <w:bCs/>
          <w:sz w:val="24"/>
          <w:szCs w:val="24"/>
        </w:rPr>
        <w:t xml:space="preserve">УО на ПРР/съответното предприятие (кандидата и партньора) следва да спазват установените в Закона за държавните помощи (ЗДП) и Правилника за неговото прилагане (ППЗДП) изисквания, отнасящи се до минималните помощи. </w:t>
      </w:r>
    </w:p>
    <w:p w:rsidR="00580742" w:rsidRPr="00E60202" w:rsidRDefault="00A258E7">
      <w:pPr>
        <w:shd w:val="clear" w:color="auto" w:fill="FFFFFF" w:themeFill="background1"/>
        <w:snapToGrid w:val="0"/>
        <w:spacing w:after="120" w:line="360" w:lineRule="auto"/>
        <w:jc w:val="both"/>
        <w:rPr>
          <w:rFonts w:ascii="Times New Roman" w:hAnsi="Times New Roman" w:cs="Times New Roman"/>
          <w:bCs/>
          <w:sz w:val="24"/>
          <w:szCs w:val="24"/>
        </w:rPr>
      </w:pPr>
      <w:r w:rsidRPr="00E60202">
        <w:rPr>
          <w:rFonts w:ascii="Times New Roman" w:hAnsi="Times New Roman" w:cs="Times New Roman"/>
          <w:bCs/>
          <w:sz w:val="24"/>
          <w:szCs w:val="24"/>
        </w:rPr>
        <w:t xml:space="preserve">Във връзка с чл. 6 от Регламент (ЕС) № 2023/2831, УО на ПРР е 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w:t>
      </w:r>
      <w:r w:rsidRPr="00E60202">
        <w:rPr>
          <w:rFonts w:ascii="Times New Roman" w:hAnsi="Times New Roman" w:cs="Times New Roman"/>
          <w:bCs/>
          <w:sz w:val="24"/>
          <w:szCs w:val="24"/>
        </w:rPr>
        <w:lastRenderedPageBreak/>
        <w:t xml:space="preserve">информация, чрез която да е възможно да се докаже, че са спазени условията на Регламента. В тази връзка, УО на ПРР проверява декларираната от КБ и партньора (ако е приложимо)  информация, чрез съпоставянето й с данни от официални източници, като например Търговския регистър, Регистъра на минималните помощи, поддържан от министъра на финансите и др. При проверка на условията на Регламент (ЕС) №2023/2831 за всеки проект, в които е с включено финансиране в режим на деминимис УО ще изготви и попълва контролен лист за съответствието на отпусканата минимална помощ с изискванията на Регламента, като събира надеждна одитна следа за извършените проверки. </w:t>
      </w:r>
    </w:p>
    <w:p w:rsidR="00580742" w:rsidRPr="00E60202" w:rsidRDefault="00A258E7">
      <w:pPr>
        <w:shd w:val="clear" w:color="auto" w:fill="FFFFFF" w:themeFill="background1"/>
        <w:snapToGrid w:val="0"/>
        <w:spacing w:after="120" w:line="360" w:lineRule="auto"/>
        <w:jc w:val="both"/>
        <w:rPr>
          <w:rFonts w:ascii="Times New Roman" w:hAnsi="Times New Roman" w:cs="Times New Roman"/>
          <w:bCs/>
          <w:sz w:val="24"/>
          <w:szCs w:val="24"/>
        </w:rPr>
      </w:pPr>
      <w:r w:rsidRPr="00E60202">
        <w:rPr>
          <w:rFonts w:ascii="Times New Roman" w:hAnsi="Times New Roman" w:cs="Times New Roman"/>
          <w:bCs/>
          <w:sz w:val="24"/>
          <w:szCs w:val="24"/>
        </w:rPr>
        <w:t>В съответствие с чл. 6, параграф 7 на Регламент (ЕС) № 2023/2831 и Закона за държавните помощи УО на ПРР е длъжен при писмено искане от страна на Министерството на финансите или ЕК в срок, определен от съответния орган в искането, да представят цялата информация, която Комисията счита за необходима, за да прецени дали са спазени условията по Регламент (ЕС) № 2023/2831, и по-специално относно общия размер на помощта de minimis по смисъла на Регламент (ЕС) № 2023/2831 и на други регламенти за помощ de minimis, получена от всяко предприятие.</w:t>
      </w:r>
    </w:p>
    <w:p w:rsidR="00580742" w:rsidRPr="00E60202" w:rsidRDefault="00A258E7">
      <w:pPr>
        <w:shd w:val="clear" w:color="auto" w:fill="FFFFFF" w:themeFill="background1"/>
        <w:snapToGrid w:val="0"/>
        <w:spacing w:after="120" w:line="360" w:lineRule="auto"/>
        <w:jc w:val="both"/>
        <w:rPr>
          <w:rFonts w:ascii="Times New Roman" w:hAnsi="Times New Roman" w:cs="Times New Roman"/>
          <w:sz w:val="24"/>
          <w:szCs w:val="24"/>
        </w:rPr>
      </w:pPr>
      <w:r w:rsidRPr="00E60202">
        <w:rPr>
          <w:rFonts w:ascii="Times New Roman" w:hAnsi="Times New Roman" w:cs="Times New Roman"/>
          <w:sz w:val="24"/>
          <w:szCs w:val="24"/>
        </w:rPr>
        <w:t>Съгласно чл. 34, ал. 1 от ЗДП, при всяко предоставяне на минимална помощ администраторът следва в 3-дневен срок да уведоми Министъра на финансите, като въведе в 3-дневен срок данните за съответния получател и размера на получената от него минимална помощ в информационна система „Регистър на минималните помощи“.</w:t>
      </w:r>
    </w:p>
    <w:p w:rsidR="00580742" w:rsidRPr="00E60202" w:rsidRDefault="00580742">
      <w:pPr>
        <w:shd w:val="clear" w:color="auto" w:fill="FFFFFF" w:themeFill="background1"/>
        <w:snapToGrid w:val="0"/>
        <w:spacing w:after="120" w:line="360" w:lineRule="auto"/>
        <w:jc w:val="both"/>
        <w:rPr>
          <w:rFonts w:ascii="Times New Roman" w:hAnsi="Times New Roman" w:cs="Times New Roman"/>
          <w:b/>
          <w:bCs/>
          <w:sz w:val="24"/>
          <w:szCs w:val="24"/>
        </w:rPr>
      </w:pPr>
    </w:p>
    <w:p w:rsidR="00580742" w:rsidRPr="00962A82" w:rsidRDefault="00A258E7">
      <w:pPr>
        <w:shd w:val="clear" w:color="auto" w:fill="FFFFFF" w:themeFill="background1"/>
        <w:snapToGrid w:val="0"/>
        <w:spacing w:after="120" w:line="360" w:lineRule="auto"/>
        <w:jc w:val="both"/>
        <w:rPr>
          <w:rFonts w:ascii="Times New Roman" w:hAnsi="Times New Roman" w:cs="Times New Roman"/>
          <w:b/>
          <w:bCs/>
          <w:sz w:val="24"/>
          <w:szCs w:val="24"/>
        </w:rPr>
      </w:pPr>
      <w:r w:rsidRPr="00E60202">
        <w:rPr>
          <w:rFonts w:ascii="Times New Roman" w:hAnsi="Times New Roman" w:cs="Times New Roman"/>
          <w:b/>
          <w:bCs/>
          <w:sz w:val="24"/>
          <w:szCs w:val="24"/>
        </w:rPr>
        <w:t>Съгласно изискванията на Регламент (ЕС) № 2023/2831, УО на ПРР се задължава да съхранява документацията относно помощи de minimis за период не по-кратък от 10 години от датата, на която е предоставена последната индивидуална помощ по настоящата схема (по настоящите условия по Регламент (ЕС) № 2023/2831).</w:t>
      </w:r>
      <w:bookmarkStart w:id="2" w:name="_GoBack"/>
      <w:bookmarkEnd w:id="2"/>
    </w:p>
    <w:sectPr w:rsidR="00580742" w:rsidRPr="00962A82">
      <w:headerReference w:type="default" r:id="rId10"/>
      <w:footerReference w:type="default" r:id="rId11"/>
      <w:headerReference w:type="first" r:id="rId12"/>
      <w:pgSz w:w="11906" w:h="16838"/>
      <w:pgMar w:top="1417" w:right="1417" w:bottom="1417" w:left="1417" w:header="708" w:footer="708"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69A" w:rsidRDefault="00CB469A">
      <w:pPr>
        <w:spacing w:after="0" w:line="240" w:lineRule="auto"/>
      </w:pPr>
      <w:r>
        <w:separator/>
      </w:r>
    </w:p>
  </w:endnote>
  <w:endnote w:type="continuationSeparator" w:id="0">
    <w:p w:rsidR="00CB469A" w:rsidRDefault="00CB4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EUAlbertina">
    <w:altName w:val="Times New Roman"/>
    <w:charset w:val="CC"/>
    <w:family w:val="roman"/>
    <w:pitch w:val="variable"/>
  </w:font>
  <w:font w:name="Roboto;Segoe UI;Helvetica Neue;">
    <w:altName w:val="MV Bol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6408952"/>
      <w:docPartObj>
        <w:docPartGallery w:val="Page Numbers (Bottom of Page)"/>
        <w:docPartUnique/>
      </w:docPartObj>
    </w:sdtPr>
    <w:sdtEndPr/>
    <w:sdtContent>
      <w:p w:rsidR="00580742" w:rsidRDefault="00A258E7">
        <w:pPr>
          <w:pStyle w:val="Footer"/>
          <w:jc w:val="right"/>
          <w:rPr>
            <w:rFonts w:ascii="Times New Roman" w:hAnsi="Times New Roman" w:cs="Times New Roman"/>
            <w:b/>
            <w:sz w:val="16"/>
            <w:szCs w:val="16"/>
          </w:rPr>
        </w:pP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PAGE </w:instrText>
        </w:r>
        <w:r>
          <w:rPr>
            <w:rFonts w:ascii="Times New Roman" w:hAnsi="Times New Roman" w:cs="Times New Roman"/>
            <w:b/>
            <w:sz w:val="16"/>
            <w:szCs w:val="16"/>
          </w:rPr>
          <w:fldChar w:fldCharType="separate"/>
        </w:r>
        <w:r w:rsidR="00962A82">
          <w:rPr>
            <w:rFonts w:ascii="Times New Roman" w:hAnsi="Times New Roman" w:cs="Times New Roman"/>
            <w:b/>
            <w:noProof/>
            <w:sz w:val="16"/>
            <w:szCs w:val="16"/>
          </w:rPr>
          <w:t>13</w:t>
        </w:r>
        <w:r>
          <w:rPr>
            <w:rFonts w:ascii="Times New Roman" w:hAnsi="Times New Roman" w:cs="Times New Roman"/>
            <w:b/>
            <w:sz w:val="16"/>
            <w:szCs w:val="16"/>
          </w:rPr>
          <w:fldChar w:fldCharType="end"/>
        </w:r>
      </w:p>
    </w:sdtContent>
  </w:sdt>
  <w:p w:rsidR="00580742" w:rsidRDefault="005807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69A" w:rsidRDefault="00CB469A">
      <w:pPr>
        <w:rPr>
          <w:sz w:val="12"/>
        </w:rPr>
      </w:pPr>
      <w:r>
        <w:separator/>
      </w:r>
    </w:p>
  </w:footnote>
  <w:footnote w:type="continuationSeparator" w:id="0">
    <w:p w:rsidR="00CB469A" w:rsidRDefault="00CB469A">
      <w:pPr>
        <w:rPr>
          <w:sz w:val="12"/>
        </w:rPr>
      </w:pPr>
      <w:r>
        <w:continuationSeparator/>
      </w:r>
    </w:p>
  </w:footnote>
  <w:footnote w:id="1">
    <w:p w:rsidR="00580742" w:rsidRDefault="00A258E7">
      <w:pPr>
        <w:pStyle w:val="FootnoteText1"/>
        <w:rPr>
          <w:sz w:val="16"/>
          <w:szCs w:val="16"/>
        </w:rPr>
      </w:pPr>
      <w:r>
        <w:rPr>
          <w:rStyle w:val="FootnoteCharacters"/>
        </w:rPr>
        <w:footnoteRef/>
      </w:r>
      <w:r>
        <w:rPr>
          <w:sz w:val="16"/>
          <w:szCs w:val="16"/>
        </w:rPr>
        <w:tab/>
        <w:t xml:space="preserve"> Приложимите лихвени проценти са налични на  адрес </w:t>
      </w:r>
      <w:hyperlink r:id="rId1">
        <w:r>
          <w:rPr>
            <w:rStyle w:val="Hyperlink"/>
            <w:sz w:val="16"/>
            <w:szCs w:val="16"/>
          </w:rPr>
          <w:t>http://ec.europa.eu/competition/state_aid/legislation/reference_rates.html</w:t>
        </w:r>
      </w:hyperlink>
    </w:p>
    <w:p w:rsidR="00580742" w:rsidRDefault="00580742">
      <w:pPr>
        <w:pStyle w:val="FootnoteText1"/>
      </w:pPr>
    </w:p>
  </w:footnote>
  <w:footnote w:id="2">
    <w:p w:rsidR="00851533" w:rsidRDefault="00851533" w:rsidP="00851533">
      <w:pPr>
        <w:pStyle w:val="FootnoteText1"/>
        <w:spacing w:line="240" w:lineRule="auto"/>
      </w:pPr>
      <w:r>
        <w:rPr>
          <w:rStyle w:val="FootnoteCharacters"/>
        </w:rPr>
        <w:footnoteRef/>
      </w:r>
      <w:r>
        <w:tab/>
        <w:t xml:space="preserve"> </w:t>
      </w:r>
      <w:r w:rsidRPr="00E60202">
        <w:t>C/2023/9700 OJ L, 2023/2831, 15.12.2023, ELI:</w:t>
      </w:r>
      <w:r w:rsidRPr="00E60202">
        <w:rPr>
          <w:rFonts w:hint="eastAsia"/>
        </w:rPr>
        <w:t> </w:t>
      </w:r>
      <w:hyperlink r:id="rId2" w:tgtFrame="_blank">
        <w:r w:rsidRPr="00E60202">
          <w:t>http://data.europa.eu/eli/reg/2023/2831/oj</w:t>
        </w:r>
      </w:hyperlink>
    </w:p>
    <w:p w:rsidR="00851533" w:rsidRDefault="00851533" w:rsidP="00851533">
      <w:pPr>
        <w:pStyle w:val="FootnoteText1"/>
        <w:spacing w:line="240" w:lineRule="auto"/>
      </w:pPr>
    </w:p>
  </w:footnote>
  <w:footnote w:id="3">
    <w:p w:rsidR="00580742" w:rsidRDefault="00A258E7">
      <w:pPr>
        <w:pStyle w:val="FootnoteText1"/>
        <w:spacing w:line="240" w:lineRule="auto"/>
      </w:pPr>
      <w:r>
        <w:rPr>
          <w:rStyle w:val="FootnoteCharacters"/>
        </w:rPr>
        <w:footnoteRef/>
      </w:r>
      <w:r>
        <w:tab/>
        <w:t xml:space="preserve"> Регламент (ЕС) №1407/2013 на Комисията от 18 декември 2013 г. относно прилагането на членове 107 и 108 от Договора за функционирането на Европейския съюз към помощта de minimis (</w:t>
      </w:r>
      <w:hyperlink r:id="rId3">
        <w:r>
          <w:rPr>
            <w:rStyle w:val="Hyperlink"/>
          </w:rPr>
          <w:t>ОВ L 352, 24.12.2013 г., стр. 1</w:t>
        </w:r>
      </w:hyperlink>
      <w:r>
        <w:t>).</w:t>
      </w:r>
    </w:p>
  </w:footnote>
  <w:footnote w:id="4">
    <w:p w:rsidR="00580742" w:rsidRDefault="00A258E7">
      <w:pPr>
        <w:pStyle w:val="FootnoteText1"/>
        <w:spacing w:line="240" w:lineRule="auto"/>
      </w:pPr>
      <w:r>
        <w:rPr>
          <w:rStyle w:val="FootnoteCharacters"/>
        </w:rPr>
        <w:footnoteRef/>
      </w:r>
      <w:r>
        <w:tab/>
        <w:t>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24.12.2013 г., стр. 9).</w:t>
      </w:r>
    </w:p>
  </w:footnote>
  <w:footnote w:id="5">
    <w:p w:rsidR="00580742" w:rsidRDefault="00A258E7">
      <w:pPr>
        <w:pStyle w:val="FootnoteText1"/>
        <w:widowControl/>
        <w:ind w:firstLine="0"/>
      </w:pPr>
      <w:r>
        <w:rPr>
          <w:rStyle w:val="FootnoteCharacters"/>
        </w:rPr>
        <w:footnoteRef/>
      </w:r>
      <w:r>
        <w:rPr>
          <w:rStyle w:val="Emphasis"/>
          <w:rFonts w:ascii="Roboto;Segoe UI;Helvetica Neue;" w:hAnsi="Roboto;Segoe UI;Helvetica Neue;"/>
          <w:color w:val="333333"/>
          <w:sz w:val="17"/>
        </w:rPr>
        <w:t>OB L 114, 26.4.2012, p. 8–13 </w:t>
      </w:r>
      <w:r>
        <w:t xml:space="preserve"> </w:t>
      </w:r>
    </w:p>
  </w:footnote>
  <w:footnote w:id="6">
    <w:p w:rsidR="00580742" w:rsidRDefault="00A258E7">
      <w:pPr>
        <w:pStyle w:val="FootnoteText1"/>
        <w:spacing w:line="240" w:lineRule="auto"/>
      </w:pPr>
      <w:r>
        <w:rPr>
          <w:rStyle w:val="FootnoteCharacters"/>
        </w:rPr>
        <w:footnoteRef/>
      </w:r>
      <w:r>
        <w:tab/>
        <w:t xml:space="preserve"> 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28.6.2014 г., стр. 45).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742" w:rsidRDefault="00A258E7">
    <w:pPr>
      <w:pStyle w:val="Header"/>
      <w:jc w:val="center"/>
    </w:pPr>
    <w:r>
      <w:rPr>
        <w:noProof/>
        <w:lang w:val="en-US"/>
      </w:rPr>
      <w:drawing>
        <wp:inline distT="0" distB="0" distL="0" distR="0">
          <wp:extent cx="3019425" cy="828675"/>
          <wp:effectExtent l="0" t="0" r="0" b="0"/>
          <wp:docPr id="1"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BG Финансирано от Европейския съюз_POS"/>
                  <pic:cNvPicPr>
                    <a:picLocks noChangeAspect="1" noChangeArrowheads="1"/>
                  </pic:cNvPicPr>
                </pic:nvPicPr>
                <pic:blipFill>
                  <a:blip r:embed="rId1"/>
                  <a:stretch>
                    <a:fillRect/>
                  </a:stretch>
                </pic:blipFill>
                <pic:spPr bwMode="auto">
                  <a:xfrm>
                    <a:off x="0" y="0"/>
                    <a:ext cx="3019425" cy="82867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742" w:rsidRDefault="00A258E7">
    <w:pPr>
      <w:pStyle w:val="Header"/>
      <w:jc w:val="center"/>
    </w:pPr>
    <w:r>
      <w:rPr>
        <w:noProof/>
        <w:lang w:val="en-US"/>
      </w:rPr>
      <w:drawing>
        <wp:anchor distT="0" distB="0" distL="114300" distR="114300" simplePos="0" relativeHeight="2" behindDoc="0" locked="0" layoutInCell="0" allowOverlap="1">
          <wp:simplePos x="0" y="0"/>
          <wp:positionH relativeFrom="column">
            <wp:posOffset>5640070</wp:posOffset>
          </wp:positionH>
          <wp:positionV relativeFrom="paragraph">
            <wp:posOffset>-421640</wp:posOffset>
          </wp:positionV>
          <wp:extent cx="925830" cy="925830"/>
          <wp:effectExtent l="0" t="0" r="0" b="0"/>
          <wp:wrapTight wrapText="bothSides">
            <wp:wrapPolygon edited="0">
              <wp:start x="-5" y="0"/>
              <wp:lineTo x="-5" y="21328"/>
              <wp:lineTo x="21328" y="21328"/>
              <wp:lineTo x="21328" y="0"/>
              <wp:lineTo x="-5" y="0"/>
            </wp:wrapPolygon>
          </wp:wrapTight>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5"/>
                  <pic:cNvPicPr>
                    <a:picLocks noChangeAspect="1" noChangeArrowheads="1"/>
                  </pic:cNvPicPr>
                </pic:nvPicPr>
                <pic:blipFill>
                  <a:blip r:embed="rId1"/>
                  <a:stretch>
                    <a:fillRect/>
                  </a:stretch>
                </pic:blipFill>
                <pic:spPr bwMode="auto">
                  <a:xfrm>
                    <a:off x="0" y="0"/>
                    <a:ext cx="925830" cy="925830"/>
                  </a:xfrm>
                  <a:prstGeom prst="rect">
                    <a:avLst/>
                  </a:prstGeom>
                </pic:spPr>
              </pic:pic>
            </a:graphicData>
          </a:graphic>
        </wp:anchor>
      </w:drawing>
    </w:r>
    <w:r>
      <w:rPr>
        <w:noProof/>
        <w:lang w:val="en-US"/>
      </w:rPr>
      <w:drawing>
        <wp:anchor distT="0" distB="0" distL="0" distR="0" simplePos="0" relativeHeight="3" behindDoc="1" locked="0" layoutInCell="0" allowOverlap="1">
          <wp:simplePos x="0" y="0"/>
          <wp:positionH relativeFrom="column">
            <wp:posOffset>-544195</wp:posOffset>
          </wp:positionH>
          <wp:positionV relativeFrom="paragraph">
            <wp:posOffset>-153035</wp:posOffset>
          </wp:positionV>
          <wp:extent cx="2314575" cy="571500"/>
          <wp:effectExtent l="0" t="0" r="0"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pic:cNvPicPr>
                    <a:picLocks noChangeAspect="1" noChangeArrowheads="1"/>
                  </pic:cNvPicPr>
                </pic:nvPicPr>
                <pic:blipFill>
                  <a:blip r:embed="rId2"/>
                  <a:stretch>
                    <a:fillRect/>
                  </a:stretch>
                </pic:blipFill>
                <pic:spPr bwMode="auto">
                  <a:xfrm>
                    <a:off x="0" y="0"/>
                    <a:ext cx="2314575" cy="5715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5636C"/>
    <w:multiLevelType w:val="multilevel"/>
    <w:tmpl w:val="CDDE74D0"/>
    <w:lvl w:ilvl="0">
      <w:start w:val="1"/>
      <w:numFmt w:val="decimal"/>
      <w:lvlText w:val="%1."/>
      <w:lvlJc w:val="left"/>
      <w:pPr>
        <w:tabs>
          <w:tab w:val="num" w:pos="0"/>
        </w:tabs>
        <w:ind w:left="364" w:hanging="360"/>
      </w:pPr>
    </w:lvl>
    <w:lvl w:ilvl="1">
      <w:start w:val="1"/>
      <w:numFmt w:val="decimal"/>
      <w:lvlText w:val="%1.%2."/>
      <w:lvlJc w:val="left"/>
      <w:pPr>
        <w:tabs>
          <w:tab w:val="num" w:pos="0"/>
        </w:tabs>
        <w:ind w:left="364" w:hanging="360"/>
      </w:pPr>
    </w:lvl>
    <w:lvl w:ilvl="2">
      <w:start w:val="1"/>
      <w:numFmt w:val="decimal"/>
      <w:lvlText w:val="%1.%2.%3."/>
      <w:lvlJc w:val="left"/>
      <w:pPr>
        <w:tabs>
          <w:tab w:val="num" w:pos="0"/>
        </w:tabs>
        <w:ind w:left="724" w:hanging="720"/>
      </w:pPr>
    </w:lvl>
    <w:lvl w:ilvl="3">
      <w:start w:val="1"/>
      <w:numFmt w:val="decimal"/>
      <w:lvlText w:val="%1.%2.%3.%4."/>
      <w:lvlJc w:val="left"/>
      <w:pPr>
        <w:tabs>
          <w:tab w:val="num" w:pos="0"/>
        </w:tabs>
        <w:ind w:left="724" w:hanging="720"/>
      </w:pPr>
    </w:lvl>
    <w:lvl w:ilvl="4">
      <w:start w:val="1"/>
      <w:numFmt w:val="decimal"/>
      <w:lvlText w:val="%1.%2.%3.%4.%5."/>
      <w:lvlJc w:val="left"/>
      <w:pPr>
        <w:tabs>
          <w:tab w:val="num" w:pos="0"/>
        </w:tabs>
        <w:ind w:left="1084" w:hanging="1080"/>
      </w:pPr>
    </w:lvl>
    <w:lvl w:ilvl="5">
      <w:start w:val="1"/>
      <w:numFmt w:val="decimal"/>
      <w:lvlText w:val="%1.%2.%3.%4.%5.%6."/>
      <w:lvlJc w:val="left"/>
      <w:pPr>
        <w:tabs>
          <w:tab w:val="num" w:pos="0"/>
        </w:tabs>
        <w:ind w:left="1084" w:hanging="108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444" w:hanging="1440"/>
      </w:pPr>
    </w:lvl>
    <w:lvl w:ilvl="8">
      <w:start w:val="1"/>
      <w:numFmt w:val="decimal"/>
      <w:lvlText w:val="%1.%2.%3.%4.%5.%6.%7.%8.%9."/>
      <w:lvlJc w:val="left"/>
      <w:pPr>
        <w:tabs>
          <w:tab w:val="num" w:pos="0"/>
        </w:tabs>
        <w:ind w:left="1804" w:hanging="1800"/>
      </w:pPr>
    </w:lvl>
  </w:abstractNum>
  <w:abstractNum w:abstractNumId="1" w15:restartNumberingAfterBreak="0">
    <w:nsid w:val="55486991"/>
    <w:multiLevelType w:val="multilevel"/>
    <w:tmpl w:val="6658BF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0891A51"/>
    <w:multiLevelType w:val="multilevel"/>
    <w:tmpl w:val="90F807B4"/>
    <w:lvl w:ilvl="0">
      <w:start w:val="1"/>
      <w:numFmt w:val="decimal"/>
      <w:pStyle w:val="GfAheading1"/>
      <w:lvlText w:val="%1."/>
      <w:lvlJc w:val="left"/>
      <w:pPr>
        <w:tabs>
          <w:tab w:val="num" w:pos="1080"/>
        </w:tabs>
        <w:ind w:left="1080" w:hanging="360"/>
      </w:pPr>
    </w:lvl>
    <w:lvl w:ilvl="1">
      <w:start w:val="1"/>
      <w:numFmt w:val="decimal"/>
      <w:pStyle w:val="NumPar2"/>
      <w:lvlText w:val="%1.%2."/>
      <w:lvlJc w:val="left"/>
      <w:pPr>
        <w:tabs>
          <w:tab w:val="num" w:pos="1211"/>
        </w:tabs>
        <w:ind w:left="1211"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600"/>
        </w:tabs>
        <w:ind w:left="360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680"/>
        </w:tabs>
        <w:ind w:left="4680" w:hanging="1440"/>
      </w:pPr>
    </w:lvl>
    <w:lvl w:ilvl="8">
      <w:start w:val="1"/>
      <w:numFmt w:val="decimal"/>
      <w:lvlText w:val="%1.%2.%3.%4.%5.%6.%7.%8.%9."/>
      <w:lvlJc w:val="left"/>
      <w:pPr>
        <w:tabs>
          <w:tab w:val="num" w:pos="5400"/>
        </w:tabs>
        <w:ind w:left="5400" w:hanging="1800"/>
      </w:pPr>
    </w:lvl>
  </w:abstractNum>
  <w:abstractNum w:abstractNumId="3" w15:restartNumberingAfterBreak="0">
    <w:nsid w:val="74E65D60"/>
    <w:multiLevelType w:val="multilevel"/>
    <w:tmpl w:val="FB3CC4A6"/>
    <w:lvl w:ilvl="0">
      <w:numFmt w:val="bullet"/>
      <w:lvlText w:val="-"/>
      <w:lvlJc w:val="left"/>
      <w:pPr>
        <w:tabs>
          <w:tab w:val="num" w:pos="0"/>
        </w:tabs>
        <w:ind w:left="724" w:hanging="360"/>
      </w:pPr>
      <w:rPr>
        <w:rFonts w:ascii="Times New Roman" w:hAnsi="Times New Roman" w:cs="Times New Roman" w:hint="default"/>
      </w:rPr>
    </w:lvl>
    <w:lvl w:ilvl="1">
      <w:start w:val="1"/>
      <w:numFmt w:val="bullet"/>
      <w:lvlText w:val="o"/>
      <w:lvlJc w:val="left"/>
      <w:pPr>
        <w:tabs>
          <w:tab w:val="num" w:pos="0"/>
        </w:tabs>
        <w:ind w:left="1444" w:hanging="360"/>
      </w:pPr>
      <w:rPr>
        <w:rFonts w:ascii="Courier New" w:hAnsi="Courier New" w:cs="Courier New" w:hint="default"/>
      </w:rPr>
    </w:lvl>
    <w:lvl w:ilvl="2">
      <w:start w:val="1"/>
      <w:numFmt w:val="bullet"/>
      <w:lvlText w:val=""/>
      <w:lvlJc w:val="left"/>
      <w:pPr>
        <w:tabs>
          <w:tab w:val="num" w:pos="0"/>
        </w:tabs>
        <w:ind w:left="2164" w:hanging="360"/>
      </w:pPr>
      <w:rPr>
        <w:rFonts w:ascii="Wingdings" w:hAnsi="Wingdings" w:cs="Wingdings" w:hint="default"/>
      </w:rPr>
    </w:lvl>
    <w:lvl w:ilvl="3">
      <w:start w:val="1"/>
      <w:numFmt w:val="bullet"/>
      <w:lvlText w:val=""/>
      <w:lvlJc w:val="left"/>
      <w:pPr>
        <w:tabs>
          <w:tab w:val="num" w:pos="0"/>
        </w:tabs>
        <w:ind w:left="2884" w:hanging="360"/>
      </w:pPr>
      <w:rPr>
        <w:rFonts w:ascii="Symbol" w:hAnsi="Symbol" w:cs="Symbol" w:hint="default"/>
      </w:rPr>
    </w:lvl>
    <w:lvl w:ilvl="4">
      <w:start w:val="1"/>
      <w:numFmt w:val="bullet"/>
      <w:lvlText w:val="o"/>
      <w:lvlJc w:val="left"/>
      <w:pPr>
        <w:tabs>
          <w:tab w:val="num" w:pos="0"/>
        </w:tabs>
        <w:ind w:left="3604" w:hanging="360"/>
      </w:pPr>
      <w:rPr>
        <w:rFonts w:ascii="Courier New" w:hAnsi="Courier New" w:cs="Courier New" w:hint="default"/>
      </w:rPr>
    </w:lvl>
    <w:lvl w:ilvl="5">
      <w:start w:val="1"/>
      <w:numFmt w:val="bullet"/>
      <w:lvlText w:val=""/>
      <w:lvlJc w:val="left"/>
      <w:pPr>
        <w:tabs>
          <w:tab w:val="num" w:pos="0"/>
        </w:tabs>
        <w:ind w:left="4324" w:hanging="360"/>
      </w:pPr>
      <w:rPr>
        <w:rFonts w:ascii="Wingdings" w:hAnsi="Wingdings" w:cs="Wingdings" w:hint="default"/>
      </w:rPr>
    </w:lvl>
    <w:lvl w:ilvl="6">
      <w:start w:val="1"/>
      <w:numFmt w:val="bullet"/>
      <w:lvlText w:val=""/>
      <w:lvlJc w:val="left"/>
      <w:pPr>
        <w:tabs>
          <w:tab w:val="num" w:pos="0"/>
        </w:tabs>
        <w:ind w:left="5044" w:hanging="360"/>
      </w:pPr>
      <w:rPr>
        <w:rFonts w:ascii="Symbol" w:hAnsi="Symbol" w:cs="Symbol" w:hint="default"/>
      </w:rPr>
    </w:lvl>
    <w:lvl w:ilvl="7">
      <w:start w:val="1"/>
      <w:numFmt w:val="bullet"/>
      <w:lvlText w:val="o"/>
      <w:lvlJc w:val="left"/>
      <w:pPr>
        <w:tabs>
          <w:tab w:val="num" w:pos="0"/>
        </w:tabs>
        <w:ind w:left="5764" w:hanging="360"/>
      </w:pPr>
      <w:rPr>
        <w:rFonts w:ascii="Courier New" w:hAnsi="Courier New" w:cs="Courier New" w:hint="default"/>
      </w:rPr>
    </w:lvl>
    <w:lvl w:ilvl="8">
      <w:start w:val="1"/>
      <w:numFmt w:val="bullet"/>
      <w:lvlText w:val=""/>
      <w:lvlJc w:val="left"/>
      <w:pPr>
        <w:tabs>
          <w:tab w:val="num" w:pos="0"/>
        </w:tabs>
        <w:ind w:left="6484" w:hanging="360"/>
      </w:pPr>
      <w:rPr>
        <w:rFonts w:ascii="Wingdings" w:hAnsi="Wingdings" w:cs="Wingdings" w:hint="default"/>
      </w:rPr>
    </w:lvl>
  </w:abstractNum>
  <w:abstractNum w:abstractNumId="4" w15:restartNumberingAfterBreak="0">
    <w:nsid w:val="773741E7"/>
    <w:multiLevelType w:val="multilevel"/>
    <w:tmpl w:val="EF9CBE58"/>
    <w:lvl w:ilvl="0">
      <w:start w:val="1"/>
      <w:numFmt w:val="decimal"/>
      <w:lvlText w:val="%1."/>
      <w:lvlJc w:val="left"/>
      <w:pPr>
        <w:tabs>
          <w:tab w:val="num" w:pos="0"/>
        </w:tabs>
        <w:ind w:left="366" w:hanging="360"/>
      </w:pPr>
    </w:lvl>
    <w:lvl w:ilvl="1">
      <w:start w:val="1"/>
      <w:numFmt w:val="lowerLetter"/>
      <w:lvlText w:val="%2."/>
      <w:lvlJc w:val="left"/>
      <w:pPr>
        <w:tabs>
          <w:tab w:val="num" w:pos="0"/>
        </w:tabs>
        <w:ind w:left="1086" w:hanging="360"/>
      </w:pPr>
    </w:lvl>
    <w:lvl w:ilvl="2">
      <w:start w:val="1"/>
      <w:numFmt w:val="lowerRoman"/>
      <w:lvlText w:val="%3."/>
      <w:lvlJc w:val="right"/>
      <w:pPr>
        <w:tabs>
          <w:tab w:val="num" w:pos="0"/>
        </w:tabs>
        <w:ind w:left="1806" w:hanging="180"/>
      </w:pPr>
    </w:lvl>
    <w:lvl w:ilvl="3">
      <w:start w:val="1"/>
      <w:numFmt w:val="decimal"/>
      <w:lvlText w:val="%4."/>
      <w:lvlJc w:val="left"/>
      <w:pPr>
        <w:tabs>
          <w:tab w:val="num" w:pos="0"/>
        </w:tabs>
        <w:ind w:left="2526" w:hanging="360"/>
      </w:pPr>
    </w:lvl>
    <w:lvl w:ilvl="4">
      <w:start w:val="1"/>
      <w:numFmt w:val="lowerLetter"/>
      <w:lvlText w:val="%5."/>
      <w:lvlJc w:val="left"/>
      <w:pPr>
        <w:tabs>
          <w:tab w:val="num" w:pos="0"/>
        </w:tabs>
        <w:ind w:left="3246" w:hanging="360"/>
      </w:pPr>
    </w:lvl>
    <w:lvl w:ilvl="5">
      <w:start w:val="1"/>
      <w:numFmt w:val="lowerRoman"/>
      <w:lvlText w:val="%6."/>
      <w:lvlJc w:val="right"/>
      <w:pPr>
        <w:tabs>
          <w:tab w:val="num" w:pos="0"/>
        </w:tabs>
        <w:ind w:left="3966" w:hanging="180"/>
      </w:pPr>
    </w:lvl>
    <w:lvl w:ilvl="6">
      <w:start w:val="1"/>
      <w:numFmt w:val="decimal"/>
      <w:lvlText w:val="%7."/>
      <w:lvlJc w:val="left"/>
      <w:pPr>
        <w:tabs>
          <w:tab w:val="num" w:pos="0"/>
        </w:tabs>
        <w:ind w:left="4686" w:hanging="360"/>
      </w:pPr>
    </w:lvl>
    <w:lvl w:ilvl="7">
      <w:start w:val="1"/>
      <w:numFmt w:val="lowerLetter"/>
      <w:lvlText w:val="%8."/>
      <w:lvlJc w:val="left"/>
      <w:pPr>
        <w:tabs>
          <w:tab w:val="num" w:pos="0"/>
        </w:tabs>
        <w:ind w:left="5406" w:hanging="360"/>
      </w:pPr>
    </w:lvl>
    <w:lvl w:ilvl="8">
      <w:start w:val="1"/>
      <w:numFmt w:val="lowerRoman"/>
      <w:lvlText w:val="%9."/>
      <w:lvlJc w:val="right"/>
      <w:pPr>
        <w:tabs>
          <w:tab w:val="num" w:pos="0"/>
        </w:tabs>
        <w:ind w:left="6126"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742"/>
    <w:rsid w:val="000A5C8B"/>
    <w:rsid w:val="000B0068"/>
    <w:rsid w:val="0052321C"/>
    <w:rsid w:val="00580742"/>
    <w:rsid w:val="006A766B"/>
    <w:rsid w:val="00772C36"/>
    <w:rsid w:val="00833223"/>
    <w:rsid w:val="00851533"/>
    <w:rsid w:val="00962A82"/>
    <w:rsid w:val="00A258E7"/>
    <w:rsid w:val="00CB469A"/>
    <w:rsid w:val="00E6020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A3F53"/>
  <w15:docId w15:val="{C08A2D01-5426-410C-B090-48EAFF35F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uiPriority w:val="99"/>
    <w:qFormat/>
    <w:rsid w:val="000C4C4A"/>
    <w:rPr>
      <w:rFonts w:ascii="Calibri" w:eastAsia="Calibri" w:hAnsi="Calibri" w:cs="Times New Roman"/>
      <w:sz w:val="20"/>
      <w:szCs w:val="20"/>
      <w:lang w:val="en-US"/>
    </w:rPr>
  </w:style>
  <w:style w:type="character" w:customStyle="1" w:styleId="FootnoteCharacters">
    <w:name w:val="Footnote Characters"/>
    <w:uiPriority w:val="99"/>
    <w:qFormat/>
    <w:rsid w:val="008462C7"/>
    <w:rPr>
      <w:vertAlign w:val="superscript"/>
    </w:rPr>
  </w:style>
  <w:style w:type="character" w:styleId="FootnoteReference">
    <w:name w:val="footnote reference"/>
    <w:rPr>
      <w:vertAlign w:val="superscript"/>
    </w:rPr>
  </w:style>
  <w:style w:type="character" w:customStyle="1" w:styleId="Heading2Char">
    <w:name w:val="Heading 2 Char"/>
    <w:basedOn w:val="DefaultParagraphFont"/>
    <w:link w:val="Heading2"/>
    <w:qFormat/>
    <w:rsid w:val="00F421AA"/>
    <w:rPr>
      <w:rFonts w:ascii="Arial" w:eastAsia="Calibri" w:hAnsi="Arial" w:cs="Arial"/>
      <w:b/>
      <w:bCs/>
      <w:i/>
      <w:iCs/>
      <w:sz w:val="28"/>
      <w:szCs w:val="28"/>
      <w:lang w:val="en-US"/>
    </w:rPr>
  </w:style>
  <w:style w:type="character" w:customStyle="1" w:styleId="HeaderChar">
    <w:name w:val="Header Char"/>
    <w:basedOn w:val="DefaultParagraphFont"/>
    <w:link w:val="Header"/>
    <w:uiPriority w:val="99"/>
    <w:qFormat/>
    <w:rsid w:val="001E76AE"/>
  </w:style>
  <w:style w:type="character" w:customStyle="1" w:styleId="FooterChar">
    <w:name w:val="Footer Char"/>
    <w:basedOn w:val="DefaultParagraphFont"/>
    <w:link w:val="Footer"/>
    <w:uiPriority w:val="99"/>
    <w:qFormat/>
    <w:rsid w:val="001E76AE"/>
  </w:style>
  <w:style w:type="character" w:styleId="Hyperlink">
    <w:name w:val="Hyperlink"/>
    <w:basedOn w:val="DefaultParagraphFont"/>
    <w:uiPriority w:val="99"/>
    <w:unhideWhenUsed/>
    <w:rsid w:val="00D73196"/>
    <w:rPr>
      <w:color w:val="0000FF" w:themeColor="hyperlink"/>
      <w:u w:val="single"/>
    </w:rPr>
  </w:style>
  <w:style w:type="character" w:customStyle="1" w:styleId="BalloonTextChar">
    <w:name w:val="Balloon Text Char"/>
    <w:basedOn w:val="DefaultParagraphFont"/>
    <w:link w:val="BalloonText"/>
    <w:uiPriority w:val="99"/>
    <w:semiHidden/>
    <w:qFormat/>
    <w:rsid w:val="00146078"/>
    <w:rPr>
      <w:rFonts w:ascii="Tahoma" w:hAnsi="Tahoma" w:cs="Tahoma"/>
      <w:sz w:val="16"/>
      <w:szCs w:val="16"/>
    </w:rPr>
  </w:style>
  <w:style w:type="character" w:styleId="CommentReference">
    <w:name w:val="annotation reference"/>
    <w:basedOn w:val="DefaultParagraphFont"/>
    <w:uiPriority w:val="99"/>
    <w:semiHidden/>
    <w:unhideWhenUsed/>
    <w:qFormat/>
    <w:rsid w:val="00031BC8"/>
    <w:rPr>
      <w:sz w:val="16"/>
      <w:szCs w:val="16"/>
    </w:rPr>
  </w:style>
  <w:style w:type="character" w:customStyle="1" w:styleId="CommentTextChar">
    <w:name w:val="Comment Text Char"/>
    <w:basedOn w:val="DefaultParagraphFont"/>
    <w:link w:val="CommentText"/>
    <w:uiPriority w:val="99"/>
    <w:semiHidden/>
    <w:qFormat/>
    <w:rsid w:val="00031BC8"/>
    <w:rPr>
      <w:sz w:val="20"/>
      <w:szCs w:val="20"/>
    </w:rPr>
  </w:style>
  <w:style w:type="character" w:customStyle="1" w:styleId="CommentSubjectChar">
    <w:name w:val="Comment Subject Char"/>
    <w:basedOn w:val="CommentTextChar"/>
    <w:link w:val="CommentSubject"/>
    <w:uiPriority w:val="99"/>
    <w:semiHidden/>
    <w:qFormat/>
    <w:rsid w:val="00031BC8"/>
    <w:rPr>
      <w:b/>
      <w:bCs/>
      <w:sz w:val="20"/>
      <w:szCs w:val="20"/>
    </w:rPr>
  </w:style>
  <w:style w:type="character" w:customStyle="1" w:styleId="Footnote">
    <w:name w:val="Footnote_"/>
    <w:basedOn w:val="DefaultParagraphFont"/>
    <w:link w:val="FootnoteText1"/>
    <w:qFormat/>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qFormat/>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qFormat/>
    <w:rsid w:val="00965FA3"/>
    <w:rPr>
      <w:rFonts w:ascii="Times New Roman" w:eastAsia="Times New Roman" w:hAnsi="Times New Roman" w:cs="Times New Roman"/>
      <w:color w:val="000000"/>
      <w:spacing w:val="0"/>
      <w:w w:val="100"/>
      <w:sz w:val="8"/>
      <w:szCs w:val="8"/>
      <w:shd w:val="clear" w:color="auto" w:fill="FFFFFF"/>
      <w:lang w:val="bg-BG" w:eastAsia="bg-BG" w:bidi="bg-BG"/>
    </w:rPr>
  </w:style>
  <w:style w:type="character" w:customStyle="1" w:styleId="Bodytext7Exact">
    <w:name w:val="Body text (7) Exact"/>
    <w:basedOn w:val="DefaultParagraphFont"/>
    <w:qFormat/>
    <w:rsid w:val="00965FA3"/>
    <w:rPr>
      <w:rFonts w:ascii="Times New Roman" w:eastAsia="Times New Roman" w:hAnsi="Times New Roman" w:cs="Times New Roman"/>
      <w:b w:val="0"/>
      <w:bCs w:val="0"/>
      <w:i w:val="0"/>
      <w:iCs w:val="0"/>
      <w:caps w:val="0"/>
      <w:smallCaps w:val="0"/>
      <w:strike w:val="0"/>
      <w:dstrike w:val="0"/>
      <w:sz w:val="8"/>
      <w:szCs w:val="8"/>
      <w:u w:val="none"/>
      <w:lang w:val="en-US" w:eastAsia="en-US" w:bidi="en-US"/>
    </w:rPr>
  </w:style>
  <w:style w:type="character" w:customStyle="1" w:styleId="Bodytext76ptItalicSmallCapsExact">
    <w:name w:val="Body text (7) + 6 pt;Italic;Small Caps Exact"/>
    <w:basedOn w:val="Bodytext7"/>
    <w:qFormat/>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qFormat/>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qFormat/>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qFormat/>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qFormat/>
    <w:rsid w:val="00965FA3"/>
    <w:rPr>
      <w:rFonts w:ascii="Bookman Old Style" w:eastAsia="Bookman Old Style" w:hAnsi="Bookman Old Style" w:cs="Bookman Old Style"/>
      <w:color w:val="000000"/>
      <w:spacing w:val="0"/>
      <w:w w:val="100"/>
      <w:sz w:val="8"/>
      <w:szCs w:val="8"/>
      <w:shd w:val="clear" w:color="auto" w:fill="FFFFFF"/>
      <w:lang w:val="en-US" w:eastAsia="en-US" w:bidi="en-US"/>
    </w:rPr>
  </w:style>
  <w:style w:type="character" w:styleId="FollowedHyperlink">
    <w:name w:val="FollowedHyperlink"/>
    <w:basedOn w:val="DefaultParagraphFont"/>
    <w:uiPriority w:val="99"/>
    <w:semiHidden/>
    <w:unhideWhenUsed/>
    <w:rsid w:val="00AB7DCC"/>
    <w:rPr>
      <w:color w:val="800080" w:themeColor="followedHyperlink"/>
      <w:u w:val="single"/>
    </w:rPr>
  </w:style>
  <w:style w:type="character" w:customStyle="1" w:styleId="oj-italic">
    <w:name w:val="oj-italic"/>
    <w:basedOn w:val="DefaultParagraphFont"/>
    <w:qFormat/>
    <w:rsid w:val="006B0B57"/>
  </w:style>
  <w:style w:type="character" w:styleId="LineNumber">
    <w:name w:val="line number"/>
  </w:style>
  <w:style w:type="character" w:styleId="Emphasis">
    <w:name w:val="Emphasis"/>
    <w:qFormat/>
    <w:rPr>
      <w:i/>
      <w:iCs/>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customStyle="1" w:styleId="FootnoteText1">
    <w:name w:val="Footnote Text1"/>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paragraph" w:customStyle="1" w:styleId="GfAheading1">
    <w:name w:val="GfA heading 1"/>
    <w:basedOn w:val="Normal"/>
    <w:qFormat/>
    <w:rsid w:val="009D37C4"/>
    <w:pPr>
      <w:numPr>
        <w:numId w:val="2"/>
      </w:numPr>
      <w:spacing w:after="0" w:line="240" w:lineRule="auto"/>
    </w:pPr>
    <w:rPr>
      <w:rFonts w:ascii="Times New Roman" w:eastAsia="Times New Roman" w:hAnsi="Times New Roman" w:cs="Times New Roman"/>
      <w:b/>
      <w:sz w:val="24"/>
      <w:szCs w:val="24"/>
    </w:rPr>
  </w:style>
  <w:style w:type="paragraph" w:customStyle="1" w:styleId="NumPar2">
    <w:name w:val="NumPar 2"/>
    <w:basedOn w:val="Heading2"/>
    <w:next w:val="Normal"/>
    <w:qFormat/>
    <w:rsid w:val="009D37C4"/>
    <w:pPr>
      <w:keepNext w:val="0"/>
      <w:numPr>
        <w:ilvl w:val="1"/>
        <w:numId w:val="2"/>
      </w:numPr>
      <w:spacing w:before="0" w:after="240" w:line="240" w:lineRule="auto"/>
      <w:jc w:val="both"/>
      <w:outlineLvl w:val="9"/>
    </w:pPr>
    <w:rPr>
      <w:rFonts w:ascii="Times New Roman" w:eastAsia="Times New Roman" w:hAnsi="Times New Roman" w:cs="Times New Roman"/>
      <w:b w:val="0"/>
      <w:bCs w:val="0"/>
      <w:iCs w:val="0"/>
      <w:sz w:val="24"/>
      <w:szCs w:val="20"/>
      <w:lang w:val="fr-FR"/>
    </w:rPr>
  </w:style>
  <w:style w:type="paragraph" w:styleId="BalloonText">
    <w:name w:val="Balloon Text"/>
    <w:basedOn w:val="Normal"/>
    <w:link w:val="BalloonTextChar"/>
    <w:uiPriority w:val="99"/>
    <w:semiHidden/>
    <w:unhideWhenUsed/>
    <w:qFormat/>
    <w:rsid w:val="00146078"/>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rsid w:val="00031BC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031BC8"/>
    <w:rPr>
      <w:b/>
      <w:bCs/>
    </w:rPr>
  </w:style>
  <w:style w:type="paragraph" w:customStyle="1" w:styleId="Bodytext10">
    <w:name w:val="Body text (10)"/>
    <w:basedOn w:val="Normal"/>
    <w:link w:val="Bodytext10Exact"/>
    <w:qForma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qFormat/>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qFormat/>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qFormat/>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uiPriority w:val="99"/>
    <w:semiHidden/>
    <w:qFormat/>
    <w:rsid w:val="00E410AD"/>
  </w:style>
  <w:style w:type="paragraph" w:customStyle="1" w:styleId="CM1">
    <w:name w:val="CM1"/>
    <w:basedOn w:val="Normal"/>
    <w:next w:val="Normal"/>
    <w:uiPriority w:val="99"/>
    <w:qFormat/>
    <w:rsid w:val="003E5899"/>
    <w:pPr>
      <w:spacing w:after="0" w:line="240" w:lineRule="auto"/>
    </w:pPr>
    <w:rPr>
      <w:rFonts w:ascii="EUAlbertina" w:hAnsi="EUAlbertina"/>
      <w:sz w:val="24"/>
      <w:szCs w:val="24"/>
    </w:rPr>
  </w:style>
  <w:style w:type="paragraph" w:customStyle="1" w:styleId="CM3">
    <w:name w:val="CM3"/>
    <w:basedOn w:val="Normal"/>
    <w:next w:val="Normal"/>
    <w:uiPriority w:val="99"/>
    <w:qFormat/>
    <w:rsid w:val="003E5899"/>
    <w:pPr>
      <w:spacing w:after="0" w:line="240" w:lineRule="auto"/>
    </w:pPr>
    <w:rPr>
      <w:rFonts w:ascii="EUAlbertina" w:hAnsi="EUAlbertina"/>
      <w:sz w:val="24"/>
      <w:szCs w:val="24"/>
    </w:rPr>
  </w:style>
  <w:style w:type="paragraph" w:customStyle="1" w:styleId="CM4">
    <w:name w:val="CM4"/>
    <w:basedOn w:val="Normal"/>
    <w:next w:val="Normal"/>
    <w:uiPriority w:val="99"/>
    <w:qFormat/>
    <w:rsid w:val="003E5899"/>
    <w:pPr>
      <w:spacing w:after="0" w:line="240" w:lineRule="auto"/>
    </w:pPr>
    <w:rPr>
      <w:rFonts w:ascii="EUAlbertina" w:hAnsi="EUAlbertina"/>
      <w:sz w:val="24"/>
      <w:szCs w:val="24"/>
    </w:rPr>
  </w:style>
  <w:style w:type="paragraph" w:customStyle="1" w:styleId="FootnoteText10">
    <w:name w:val="Footnote Text1"/>
    <w:basedOn w:val="Normal"/>
    <w:qFormat/>
    <w:rsid w:val="008462C7"/>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nsi.bg/sites/default/files/files/publications/KID-200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ata.europa.eu/eli/reg/2023/2832/oj"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BG/AUTO/?uri=OJ:L:2013:352:TOC" TargetMode="External"/><Relationship Id="rId2" Type="http://schemas.openxmlformats.org/officeDocument/2006/relationships/hyperlink" Target="http://data.europa.eu/eli/reg/2023/2831/oj" TargetMode="External"/><Relationship Id="rId1" Type="http://schemas.openxmlformats.org/officeDocument/2006/relationships/hyperlink" Target="http://ec.europa.eu/competition/state_aid/legislation/reference_rate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20097-2677-4864-BD6A-4F746663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3775</Words>
  <Characters>21520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Теодора Иванова</dc:creator>
  <dc:description/>
  <cp:lastModifiedBy>TATYANA NIKOLOVA ANGELCHEVA</cp:lastModifiedBy>
  <cp:revision>5</cp:revision>
  <cp:lastPrinted>2024-08-07T07:45:00Z</cp:lastPrinted>
  <dcterms:created xsi:type="dcterms:W3CDTF">2024-12-19T12:17:00Z</dcterms:created>
  <dcterms:modified xsi:type="dcterms:W3CDTF">2025-01-22T10:11:00Z</dcterms:modified>
  <dc:language>en-US</dc:language>
</cp:coreProperties>
</file>